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310" w:rsidRPr="002720C2" w:rsidRDefault="008D4A04" w:rsidP="00A12E0C">
      <w:pPr>
        <w:pStyle w:val="Header"/>
        <w:rPr>
          <w:lang w:val="en-GB"/>
        </w:rPr>
      </w:pPr>
      <w:r>
        <w:rPr>
          <w:lang w:val="en-GB"/>
        </w:rPr>
        <w:pict>
          <v:shapetype id="_x0000_t202" coordsize="21600,21600" o:spt="202" path="m,l,21600r21600,l21600,xe">
            <v:stroke joinstyle="miter"/>
            <v:path gradientshapeok="t" o:connecttype="rect"/>
          </v:shapetype>
          <v:shape id="Text Box 2" o:spid="_x0000_s1026" type="#_x0000_t202" style="position:absolute;margin-left:1.65pt;margin-top:353.4pt;width:456.75pt;height:126.35pt;z-index:251529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" filled="f" stroked="f" strokeweight=".5pt">
            <v:path arrowok="t"/>
            <v:textbox style="mso-next-textbox:#Text Box 2">
              <w:txbxContent>
                <w:p w:rsidR="00F831FE" w:rsidRPr="00564D85" w:rsidRDefault="006832C0" w:rsidP="00564D85">
                  <w:pPr>
                    <w:pStyle w:val="Subtitlewhite"/>
                  </w:pPr>
                  <w:sdt>
                    <w:sdtPr>
                      <w:alias w:val="Subtitle"/>
                      <w:tag w:val="Subtitle"/>
                      <w:id w:val="1143003265"/>
                      <w:lock w:val="sdtLocked"/>
                      <w:dataBinding w:prefixMappings="xmlns:ns0='http://schemas.openxmlformats.org/package/2006/metadata/core-properties' xmlns:ns1='http://purl.org/dc/elements/1.1/'" w:xpath="/ns0:coreProperties[1]/ns1:subject[1]" w:storeItemID="{6C3C8BC8-F283-45AE-878A-BAB7291924A1}"/>
                      <w:text w:multiLine="1"/>
                    </w:sdtPr>
                    <w:sdtEndPr/>
                    <w:sdtContent>
                      <w:r w:rsidR="00F831FE">
                        <w:t>EVALUATION REPORT</w:t>
                      </w:r>
                    </w:sdtContent>
                  </w:sdt>
                </w:p>
              </w:txbxContent>
            </v:textbox>
          </v:shape>
        </w:pict>
      </w:r>
      <w:sdt>
        <w:sdtPr>
          <w:rPr>
            <w:color w:val="FFFFFF" w:themeColor="background1"/>
            <w:lang w:val="en-GB"/>
          </w:rPr>
          <w:id w:val="-1715879602"/>
          <w:docPartObj>
            <w:docPartGallery w:val="Cover Pages"/>
            <w:docPartUnique/>
          </w:docPartObj>
        </w:sdtPr>
        <w:sdtEndPr>
          <w:rPr>
            <w:color w:val="auto"/>
          </w:rPr>
        </w:sdtEndPr>
        <w:sdtContent>
          <w:r>
            <w:rPr>
              <w:noProof/>
            </w:rPr>
            <w:drawing>
              <wp:inline distT="0" distB="0" distL="0" distR="0" wp14:anchorId="355495E0" wp14:editId="090692D0">
                <wp:extent cx="2549957" cy="1051962"/>
                <wp:effectExtent l="0" t="0" r="3175" b="0"/>
                <wp:docPr id="9" name="Picture 9" descr="\\serveris\BIURO INFO\1. FIRMINIS STILIUS IR SABLONAI\2. Logotipas\PPMI Group\PPMI logo OK-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is\BIURO INFO\1. FIRMINIS STILIUS IR SABLONAI\2. Logotipas\PPMI Group\PPMI logo OK-0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9957" cy="1051962"/>
                        </a:xfrm>
                        <a:prstGeom prst="rect">
                          <a:avLst/>
                        </a:prstGeom>
                        <a:noFill/>
                        <a:ln>
                          <a:noFill/>
                        </a:ln>
                      </pic:spPr>
                    </pic:pic>
                  </a:graphicData>
                </a:graphic>
              </wp:inline>
            </w:drawing>
          </w:r>
          <w:bookmarkStart w:id="0" w:name="_GoBack"/>
          <w:r w:rsidR="000A5259" w:rsidRPr="002720C2">
            <w:rPr>
              <w:noProof/>
            </w:rPr>
            <w:drawing>
              <wp:anchor distT="0" distB="0" distL="114300" distR="114300" simplePos="0" relativeHeight="251518976" behindDoc="1" locked="0" layoutInCell="1" allowOverlap="1" wp14:anchorId="5C3AE045" wp14:editId="59BAA56F">
                <wp:simplePos x="0" y="0"/>
                <wp:positionH relativeFrom="column">
                  <wp:posOffset>-683895</wp:posOffset>
                </wp:positionH>
                <wp:positionV relativeFrom="page">
                  <wp:posOffset>219075</wp:posOffset>
                </wp:positionV>
                <wp:extent cx="7558405" cy="10610850"/>
                <wp:effectExtent l="1905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8405" cy="10610850"/>
                        </a:xfrm>
                        <a:prstGeom prst="rect">
                          <a:avLst/>
                        </a:prstGeom>
                      </pic:spPr>
                    </pic:pic>
                  </a:graphicData>
                </a:graphic>
              </wp:anchor>
            </w:drawing>
          </w:r>
          <w:bookmarkEnd w:id="0"/>
          <w:r w:rsidR="006832C0">
            <w:rPr>
              <w:lang w:val="en-GB"/>
            </w:rPr>
            <w:pict>
              <v:shape id="_x0000_s1027" type="#_x0000_t202" style="position:absolute;margin-left:1.65pt;margin-top:503.75pt;width:393pt;height:33.75pt;z-index:251531264;visibility:visible;mso-position-horizontal-relative:text;mso-position-vertical-relative:text;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" filled="f" stroked="f" strokeweight=".5pt">
                <v:path arrowok="t"/>
                <v:textbox style="mso-next-textbox:#_x0000_s1027">
                  <w:txbxContent>
                    <w:sdt>
                      <w:sdtPr>
                        <w:alias w:val="Text"/>
                        <w:tag w:val="Text"/>
                        <w:id w:val="-2097002853"/>
                        <w:lock w:val="sdtLocked"/>
                        <w:showingPlcHdr/>
                      </w:sdtPr>
                      <w:sdtEndPr/>
                      <w:sdtContent>
                        <w:p w:rsidR="00F831FE" w:rsidRPr="001375A9" w:rsidRDefault="00F831FE" w:rsidP="00755F9F">
                          <w:pPr>
                            <w:pStyle w:val="TextWhiteUP"/>
                          </w:pPr>
                          <w:r>
                            <w:t xml:space="preserve">     </w:t>
                          </w:r>
                        </w:p>
                      </w:sdtContent>
                    </w:sdt>
                  </w:txbxContent>
                </v:textbox>
              </v:shape>
            </w:pict>
          </w:r>
          <w:r w:rsidR="006832C0">
            <w:rPr>
              <w:lang w:val="en-GB"/>
            </w:rPr>
            <w:pict>
              <v:shape id="Text Box 5" o:spid="_x0000_s1028" type="#_x0000_t202" style="position:absolute;margin-left:1.65pt;margin-top:127.25pt;width:456.75pt;height:168pt;z-index:251527168;visibility:visible;mso-position-horizontal-relative:text;mso-position-vertical-relative:text;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" filled="f" stroked="f" strokeweight=".5pt">
                <v:path arrowok="t"/>
                <v:textbox style="mso-next-textbox:#Text Box 5">
                  <w:txbxContent>
                    <w:p w:rsidR="00F831FE" w:rsidRPr="00FE5642" w:rsidRDefault="006832C0" w:rsidP="00564D85">
                      <w:pPr>
                        <w:pStyle w:val="Title"/>
                        <w:rPr>
                          <w:caps w:val="0"/>
                        </w:rPr>
                      </w:pPr>
                      <w:sdt>
                        <w:sdtPr>
                          <w:alias w:val="Title"/>
                          <w:tag w:val="Title"/>
                          <w:id w:val="557215878"/>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F831FE">
                            <w:t>EX ANTE EVALUATION OF THE OPERATIONAL PROGRAMME</w:t>
                          </w:r>
                          <w:r w:rsidR="001A7A6C">
                            <w:t xml:space="preserve"> OF THE FUND FOR EUROPEAN AID TO</w:t>
                          </w:r>
                          <w:r w:rsidR="00F831FE">
                            <w:t xml:space="preserve"> THE MOST DEPRIVED</w:t>
                          </w:r>
                        </w:sdtContent>
                      </w:sdt>
                    </w:p>
                  </w:txbxContent>
                </v:textbox>
              </v:shape>
            </w:pict>
          </w:r>
          <w:r w:rsidR="006832C0">
            <w:rPr>
              <w:lang w:val="en-GB"/>
            </w:rPr>
            <w:pict>
              <v:shape id="Text Box 4" o:spid="_x0000_s1029" type="#_x0000_t202" style="position:absolute;margin-left:1.85pt;margin-top:676.25pt;width:202.5pt;height:36.75pt;z-index:251533312;visibility:visible;mso-position-horizontal-relative:text;mso-position-vertical-relative:tex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" filled="f" stroked="f" strokeweight=".5pt">
                <v:path arrowok="t"/>
                <v:textbox style="mso-next-textbox:#Text Box 4">
                  <w:txbxContent>
                    <w:p w:rsidR="00F831FE" w:rsidRPr="00755F9F" w:rsidRDefault="001A7A6C" w:rsidP="00755F9F">
                      <w:pPr>
                        <w:pStyle w:val="TextWhite"/>
                      </w:pPr>
                      <w:r>
                        <w:t>19</w:t>
                      </w:r>
                      <w:r w:rsidR="00F831FE">
                        <w:t xml:space="preserve"> August 2014</w:t>
                      </w:r>
                      <w:sdt>
                        <w:sdtPr>
                          <w:alias w:val="Data"/>
                          <w:tag w:val="Data"/>
                          <w:id w:val="-1989776505"/>
                          <w:lock w:val="sdtLocked"/>
                          <w:showingPlcHdr/>
                          <w:date w:fullDate="2014-07-18T00:00:00Z">
                            <w:dateFormat w:val="yyyy 'm.' MMMM d 'd.'"/>
                            <w:lid w:val="lt-LT"/>
                            <w:storeMappedDataAs w:val="dateTime"/>
                            <w:calendar w:val="gregorian"/>
                          </w:date>
                        </w:sdtPr>
                        <w:sdtEndPr/>
                        <w:sdtContent>
                          <w:r w:rsidR="00F831FE">
                            <w:t xml:space="preserve">     </w:t>
                          </w:r>
                        </w:sdtContent>
                      </w:sdt>
                    </w:p>
                  </w:txbxContent>
                </v:textbox>
              </v:shape>
            </w:pict>
          </w:r>
          <w:r w:rsidR="00D47310" w:rsidRPr="002720C2">
            <w:rPr>
              <w:lang w:val="en-GB"/>
            </w:rPr>
            <w:br w:type="page"/>
          </w:r>
        </w:sdtContent>
      </w:sdt>
    </w:p>
    <w:sdt>
      <w:sdtPr>
        <w:rPr>
          <w:rFonts w:eastAsiaTheme="minorEastAsia" w:cstheme="minorBidi"/>
          <w:bCs w:val="0"/>
          <w:caps w:val="0"/>
          <w:color w:val="auto"/>
          <w:sz w:val="22"/>
          <w:szCs w:val="22"/>
          <w:lang w:val="en-GB" w:eastAsia="lt-LT"/>
        </w:rPr>
        <w:id w:val="-1365522054"/>
        <w:docPartObj>
          <w:docPartGallery w:val="Table of Contents"/>
          <w:docPartUnique/>
        </w:docPartObj>
      </w:sdtPr>
      <w:sdtEndPr>
        <w:rPr>
          <w:b/>
          <w:sz w:val="24"/>
        </w:rPr>
      </w:sdtEndPr>
      <w:sdtContent>
        <w:p w:rsidR="00B56995" w:rsidRPr="002720C2" w:rsidRDefault="002720C2" w:rsidP="00B56995">
          <w:pPr>
            <w:pStyle w:val="TOCHeading"/>
            <w:rPr>
              <w:lang w:val="en-GB"/>
            </w:rPr>
          </w:pPr>
          <w:r w:rsidRPr="002720C2">
            <w:rPr>
              <w:lang w:val="en-GB"/>
            </w:rPr>
            <w:t>contents</w:t>
          </w:r>
        </w:p>
        <w:p w:rsidR="001A7A6C" w:rsidRDefault="00535F73">
          <w:pPr>
            <w:pStyle w:val="TOC1"/>
            <w:rPr>
              <w:rFonts w:asciiTheme="minorHAnsi" w:eastAsiaTheme="minorEastAsia" w:hAnsiTheme="minorHAnsi" w:cstheme="minorBidi"/>
              <w:noProof/>
              <w:color w:val="auto"/>
              <w:kern w:val="0"/>
              <w:sz w:val="22"/>
              <w:szCs w:val="22"/>
              <w:lang w:val="lt-LT"/>
            </w:rPr>
          </w:pPr>
          <w:r w:rsidRPr="002720C2">
            <w:rPr>
              <w:i/>
            </w:rPr>
            <w:fldChar w:fldCharType="begin"/>
          </w:r>
          <w:r w:rsidR="00B56995" w:rsidRPr="002720C2">
            <w:instrText xml:space="preserve"> TOC \o "1-5" \h \z \u </w:instrText>
          </w:r>
          <w:r w:rsidRPr="002720C2">
            <w:rPr>
              <w:i/>
            </w:rPr>
            <w:fldChar w:fldCharType="separate"/>
          </w:r>
          <w:hyperlink w:anchor="_Toc396222425" w:history="1">
            <w:r w:rsidR="001A7A6C" w:rsidRPr="00960C4C">
              <w:rPr>
                <w:rStyle w:val="Hyperlink"/>
                <w:rFonts w:asciiTheme="majorHAnsi" w:hAnsiTheme="majorHAnsi"/>
                <w:noProof/>
              </w:rPr>
              <w:t>INTRODUCTION</w:t>
            </w:r>
            <w:r w:rsidR="001A7A6C">
              <w:rPr>
                <w:noProof/>
                <w:webHidden/>
              </w:rPr>
              <w:tab/>
            </w:r>
            <w:r w:rsidR="001A7A6C">
              <w:rPr>
                <w:noProof/>
                <w:webHidden/>
              </w:rPr>
              <w:fldChar w:fldCharType="begin"/>
            </w:r>
            <w:r w:rsidR="001A7A6C">
              <w:rPr>
                <w:noProof/>
                <w:webHidden/>
              </w:rPr>
              <w:instrText xml:space="preserve"> PAGEREF _Toc396222425 \h </w:instrText>
            </w:r>
            <w:r w:rsidR="001A7A6C">
              <w:rPr>
                <w:noProof/>
                <w:webHidden/>
              </w:rPr>
            </w:r>
            <w:r w:rsidR="001A7A6C">
              <w:rPr>
                <w:noProof/>
                <w:webHidden/>
              </w:rPr>
              <w:fldChar w:fldCharType="separate"/>
            </w:r>
            <w:r w:rsidR="001A7A6C">
              <w:rPr>
                <w:noProof/>
                <w:webHidden/>
              </w:rPr>
              <w:t>3</w:t>
            </w:r>
            <w:r w:rsidR="001A7A6C">
              <w:rPr>
                <w:noProof/>
                <w:webHidden/>
              </w:rPr>
              <w:fldChar w:fldCharType="end"/>
            </w:r>
          </w:hyperlink>
        </w:p>
        <w:p w:rsidR="001A7A6C" w:rsidRDefault="006832C0">
          <w:pPr>
            <w:pStyle w:val="TOC1"/>
            <w:rPr>
              <w:rFonts w:asciiTheme="minorHAnsi" w:eastAsiaTheme="minorEastAsia" w:hAnsiTheme="minorHAnsi" w:cstheme="minorBidi"/>
              <w:noProof/>
              <w:color w:val="auto"/>
              <w:kern w:val="0"/>
              <w:sz w:val="22"/>
              <w:szCs w:val="22"/>
              <w:lang w:val="lt-LT"/>
            </w:rPr>
          </w:pPr>
          <w:hyperlink w:anchor="_Toc396222426" w:history="1">
            <w:r w:rsidR="001A7A6C" w:rsidRPr="00960C4C">
              <w:rPr>
                <w:rStyle w:val="Hyperlink"/>
                <w:noProof/>
              </w:rPr>
              <w:t>1.</w:t>
            </w:r>
            <w:r w:rsidR="001A7A6C">
              <w:rPr>
                <w:rFonts w:asciiTheme="minorHAnsi" w:eastAsiaTheme="minorEastAsia" w:hAnsiTheme="minorHAnsi" w:cstheme="minorBidi"/>
                <w:noProof/>
                <w:color w:val="auto"/>
                <w:kern w:val="0"/>
                <w:sz w:val="22"/>
                <w:szCs w:val="22"/>
                <w:lang w:val="lt-LT"/>
              </w:rPr>
              <w:tab/>
            </w:r>
            <w:r w:rsidR="001A7A6C" w:rsidRPr="00960C4C">
              <w:rPr>
                <w:rStyle w:val="Hyperlink"/>
                <w:noProof/>
              </w:rPr>
              <w:t>EVALUATION OF THE INTERVENTION LOGIC  OF THE OPERATIONAL PROGRAMME</w:t>
            </w:r>
            <w:r w:rsidR="001A7A6C">
              <w:rPr>
                <w:noProof/>
                <w:webHidden/>
              </w:rPr>
              <w:tab/>
            </w:r>
            <w:r w:rsidR="001A7A6C">
              <w:rPr>
                <w:noProof/>
                <w:webHidden/>
              </w:rPr>
              <w:fldChar w:fldCharType="begin"/>
            </w:r>
            <w:r w:rsidR="001A7A6C">
              <w:rPr>
                <w:noProof/>
                <w:webHidden/>
              </w:rPr>
              <w:instrText xml:space="preserve"> PAGEREF _Toc396222426 \h </w:instrText>
            </w:r>
            <w:r w:rsidR="001A7A6C">
              <w:rPr>
                <w:noProof/>
                <w:webHidden/>
              </w:rPr>
            </w:r>
            <w:r w:rsidR="001A7A6C">
              <w:rPr>
                <w:noProof/>
                <w:webHidden/>
              </w:rPr>
              <w:fldChar w:fldCharType="separate"/>
            </w:r>
            <w:r w:rsidR="001A7A6C">
              <w:rPr>
                <w:noProof/>
                <w:webHidden/>
              </w:rPr>
              <w:t>6</w:t>
            </w:r>
            <w:r w:rsidR="001A7A6C">
              <w:rPr>
                <w:noProof/>
                <w:webHidden/>
              </w:rPr>
              <w:fldChar w:fldCharType="end"/>
            </w:r>
          </w:hyperlink>
        </w:p>
        <w:p w:rsidR="001A7A6C" w:rsidRDefault="006832C0">
          <w:pPr>
            <w:pStyle w:val="TOC2"/>
            <w:rPr>
              <w:bCs w:val="0"/>
              <w:color w:val="auto"/>
              <w:sz w:val="22"/>
              <w:szCs w:val="22"/>
            </w:rPr>
          </w:pPr>
          <w:hyperlink w:anchor="_Toc396222427" w:history="1">
            <w:r w:rsidR="001A7A6C" w:rsidRPr="00960C4C">
              <w:rPr>
                <w:rStyle w:val="Hyperlink"/>
                <w:rFonts w:eastAsia="Times New Roman" w:cs="Times New Roman"/>
                <w:lang w:val="en-GB"/>
              </w:rPr>
              <w:t>2.</w:t>
            </w:r>
            <w:r w:rsidR="001A7A6C">
              <w:rPr>
                <w:bCs w:val="0"/>
                <w:color w:val="auto"/>
                <w:sz w:val="22"/>
                <w:szCs w:val="22"/>
              </w:rPr>
              <w:tab/>
            </w:r>
            <w:r w:rsidR="001A7A6C" w:rsidRPr="00960C4C">
              <w:rPr>
                <w:rStyle w:val="Hyperlink"/>
                <w:rFonts w:eastAsia="Times New Roman" w:cs="Times New Roman"/>
                <w:lang w:val="en-GB"/>
              </w:rPr>
              <w:t>RELEVANCE AND CONSISTENCY OF MONITORING INDICATORS</w:t>
            </w:r>
            <w:r w:rsidR="001A7A6C">
              <w:rPr>
                <w:webHidden/>
              </w:rPr>
              <w:tab/>
            </w:r>
            <w:r w:rsidR="001A7A6C">
              <w:rPr>
                <w:webHidden/>
              </w:rPr>
              <w:fldChar w:fldCharType="begin"/>
            </w:r>
            <w:r w:rsidR="001A7A6C">
              <w:rPr>
                <w:webHidden/>
              </w:rPr>
              <w:instrText xml:space="preserve"> PAGEREF _Toc396222427 \h </w:instrText>
            </w:r>
            <w:r w:rsidR="001A7A6C">
              <w:rPr>
                <w:webHidden/>
              </w:rPr>
            </w:r>
            <w:r w:rsidR="001A7A6C">
              <w:rPr>
                <w:webHidden/>
              </w:rPr>
              <w:fldChar w:fldCharType="separate"/>
            </w:r>
            <w:r w:rsidR="001A7A6C">
              <w:rPr>
                <w:webHidden/>
              </w:rPr>
              <w:t>13</w:t>
            </w:r>
            <w:r w:rsidR="001A7A6C">
              <w:rPr>
                <w:webHidden/>
              </w:rPr>
              <w:fldChar w:fldCharType="end"/>
            </w:r>
          </w:hyperlink>
        </w:p>
        <w:p w:rsidR="001A7A6C" w:rsidRDefault="006832C0">
          <w:pPr>
            <w:pStyle w:val="TOC2"/>
            <w:rPr>
              <w:bCs w:val="0"/>
              <w:color w:val="auto"/>
              <w:sz w:val="22"/>
              <w:szCs w:val="22"/>
            </w:rPr>
          </w:pPr>
          <w:hyperlink w:anchor="_Toc396222428" w:history="1">
            <w:r w:rsidR="001A7A6C" w:rsidRPr="00960C4C">
              <w:rPr>
                <w:rStyle w:val="Hyperlink"/>
                <w:rFonts w:eastAsiaTheme="majorEastAsia"/>
                <w:lang w:val="en-GB"/>
              </w:rPr>
              <w:t>3.</w:t>
            </w:r>
            <w:r w:rsidR="001A7A6C">
              <w:rPr>
                <w:bCs w:val="0"/>
                <w:color w:val="auto"/>
                <w:sz w:val="22"/>
                <w:szCs w:val="22"/>
              </w:rPr>
              <w:tab/>
            </w:r>
            <w:r w:rsidR="001A7A6C" w:rsidRPr="00960C4C">
              <w:rPr>
                <w:rStyle w:val="Hyperlink"/>
                <w:rFonts w:eastAsia="Times New Roman" w:cs="Times New Roman"/>
                <w:lang w:val="en-GB"/>
              </w:rPr>
              <w:t>OPERATIONAL PROGRAMME IMPLEMENTATION SYSTEM</w:t>
            </w:r>
            <w:r w:rsidR="001A7A6C">
              <w:rPr>
                <w:webHidden/>
              </w:rPr>
              <w:tab/>
            </w:r>
            <w:r w:rsidR="001A7A6C">
              <w:rPr>
                <w:webHidden/>
              </w:rPr>
              <w:fldChar w:fldCharType="begin"/>
            </w:r>
            <w:r w:rsidR="001A7A6C">
              <w:rPr>
                <w:webHidden/>
              </w:rPr>
              <w:instrText xml:space="preserve"> PAGEREF _Toc396222428 \h </w:instrText>
            </w:r>
            <w:r w:rsidR="001A7A6C">
              <w:rPr>
                <w:webHidden/>
              </w:rPr>
            </w:r>
            <w:r w:rsidR="001A7A6C">
              <w:rPr>
                <w:webHidden/>
              </w:rPr>
              <w:fldChar w:fldCharType="separate"/>
            </w:r>
            <w:r w:rsidR="001A7A6C">
              <w:rPr>
                <w:webHidden/>
              </w:rPr>
              <w:t>15</w:t>
            </w:r>
            <w:r w:rsidR="001A7A6C">
              <w:rPr>
                <w:webHidden/>
              </w:rPr>
              <w:fldChar w:fldCharType="end"/>
            </w:r>
          </w:hyperlink>
        </w:p>
        <w:p w:rsidR="001A7A6C" w:rsidRDefault="006832C0">
          <w:pPr>
            <w:pStyle w:val="TOC2"/>
            <w:rPr>
              <w:bCs w:val="0"/>
              <w:color w:val="auto"/>
              <w:sz w:val="22"/>
              <w:szCs w:val="22"/>
            </w:rPr>
          </w:pPr>
          <w:hyperlink w:anchor="_Toc396222429" w:history="1">
            <w:r w:rsidR="001A7A6C" w:rsidRPr="00960C4C">
              <w:rPr>
                <w:rStyle w:val="Hyperlink"/>
                <w:rFonts w:eastAsiaTheme="majorEastAsia"/>
                <w:lang w:val="en-GB"/>
              </w:rPr>
              <w:t>4.</w:t>
            </w:r>
            <w:r w:rsidR="001A7A6C">
              <w:rPr>
                <w:bCs w:val="0"/>
                <w:color w:val="auto"/>
                <w:sz w:val="22"/>
                <w:szCs w:val="22"/>
              </w:rPr>
              <w:tab/>
            </w:r>
            <w:r w:rsidR="001A7A6C" w:rsidRPr="00960C4C">
              <w:rPr>
                <w:rStyle w:val="Hyperlink"/>
                <w:rFonts w:eastAsia="Times New Roman" w:cs="Times New Roman"/>
                <w:lang w:val="en-GB"/>
              </w:rPr>
              <w:t>IMPLEMENTATION OF THE PARTNERSHIP PRINCIPLE</w:t>
            </w:r>
            <w:r w:rsidR="001A7A6C">
              <w:rPr>
                <w:webHidden/>
              </w:rPr>
              <w:tab/>
            </w:r>
            <w:r w:rsidR="001A7A6C">
              <w:rPr>
                <w:webHidden/>
              </w:rPr>
              <w:fldChar w:fldCharType="begin"/>
            </w:r>
            <w:r w:rsidR="001A7A6C">
              <w:rPr>
                <w:webHidden/>
              </w:rPr>
              <w:instrText xml:space="preserve"> PAGEREF _Toc396222429 \h </w:instrText>
            </w:r>
            <w:r w:rsidR="001A7A6C">
              <w:rPr>
                <w:webHidden/>
              </w:rPr>
            </w:r>
            <w:r w:rsidR="001A7A6C">
              <w:rPr>
                <w:webHidden/>
              </w:rPr>
              <w:fldChar w:fldCharType="separate"/>
            </w:r>
            <w:r w:rsidR="001A7A6C">
              <w:rPr>
                <w:webHidden/>
              </w:rPr>
              <w:t>18</w:t>
            </w:r>
            <w:r w:rsidR="001A7A6C">
              <w:rPr>
                <w:webHidden/>
              </w:rPr>
              <w:fldChar w:fldCharType="end"/>
            </w:r>
          </w:hyperlink>
        </w:p>
        <w:p w:rsidR="001A7A6C" w:rsidRDefault="006832C0">
          <w:pPr>
            <w:pStyle w:val="TOC2"/>
            <w:rPr>
              <w:bCs w:val="0"/>
              <w:color w:val="auto"/>
              <w:sz w:val="22"/>
              <w:szCs w:val="22"/>
            </w:rPr>
          </w:pPr>
          <w:hyperlink w:anchor="_Toc396222430" w:history="1">
            <w:r w:rsidR="001A7A6C" w:rsidRPr="00960C4C">
              <w:rPr>
                <w:rStyle w:val="Hyperlink"/>
                <w:rFonts w:eastAsiaTheme="majorEastAsia"/>
                <w:lang w:val="en-GB"/>
              </w:rPr>
              <w:t>PROPOSALS FOR IMPROVEMENT OF THE OPERATIONAL PROGRAMME</w:t>
            </w:r>
            <w:r w:rsidR="001A7A6C">
              <w:rPr>
                <w:webHidden/>
              </w:rPr>
              <w:tab/>
            </w:r>
            <w:r w:rsidR="001A7A6C">
              <w:rPr>
                <w:webHidden/>
              </w:rPr>
              <w:fldChar w:fldCharType="begin"/>
            </w:r>
            <w:r w:rsidR="001A7A6C">
              <w:rPr>
                <w:webHidden/>
              </w:rPr>
              <w:instrText xml:space="preserve"> PAGEREF _Toc396222430 \h </w:instrText>
            </w:r>
            <w:r w:rsidR="001A7A6C">
              <w:rPr>
                <w:webHidden/>
              </w:rPr>
            </w:r>
            <w:r w:rsidR="001A7A6C">
              <w:rPr>
                <w:webHidden/>
              </w:rPr>
              <w:fldChar w:fldCharType="separate"/>
            </w:r>
            <w:r w:rsidR="001A7A6C">
              <w:rPr>
                <w:webHidden/>
              </w:rPr>
              <w:t>20</w:t>
            </w:r>
            <w:r w:rsidR="001A7A6C">
              <w:rPr>
                <w:webHidden/>
              </w:rPr>
              <w:fldChar w:fldCharType="end"/>
            </w:r>
          </w:hyperlink>
        </w:p>
        <w:p w:rsidR="001A7A6C" w:rsidRDefault="006832C0">
          <w:pPr>
            <w:pStyle w:val="TOC2"/>
            <w:rPr>
              <w:bCs w:val="0"/>
              <w:color w:val="auto"/>
              <w:sz w:val="22"/>
              <w:szCs w:val="22"/>
            </w:rPr>
          </w:pPr>
          <w:hyperlink w:anchor="_Toc396222431" w:history="1">
            <w:r w:rsidR="001A7A6C" w:rsidRPr="00960C4C">
              <w:rPr>
                <w:rStyle w:val="Hyperlink"/>
                <w:rFonts w:eastAsia="Times New Roman" w:cs="Times New Roman"/>
                <w:lang w:val="en-GB"/>
              </w:rPr>
              <w:t>LITERATURE AND REFERENCES</w:t>
            </w:r>
            <w:r w:rsidR="001A7A6C">
              <w:rPr>
                <w:webHidden/>
              </w:rPr>
              <w:tab/>
            </w:r>
            <w:r w:rsidR="001A7A6C">
              <w:rPr>
                <w:webHidden/>
              </w:rPr>
              <w:fldChar w:fldCharType="begin"/>
            </w:r>
            <w:r w:rsidR="001A7A6C">
              <w:rPr>
                <w:webHidden/>
              </w:rPr>
              <w:instrText xml:space="preserve"> PAGEREF _Toc396222431 \h </w:instrText>
            </w:r>
            <w:r w:rsidR="001A7A6C">
              <w:rPr>
                <w:webHidden/>
              </w:rPr>
            </w:r>
            <w:r w:rsidR="001A7A6C">
              <w:rPr>
                <w:webHidden/>
              </w:rPr>
              <w:fldChar w:fldCharType="separate"/>
            </w:r>
            <w:r w:rsidR="001A7A6C">
              <w:rPr>
                <w:webHidden/>
              </w:rPr>
              <w:t>22</w:t>
            </w:r>
            <w:r w:rsidR="001A7A6C">
              <w:rPr>
                <w:webHidden/>
              </w:rPr>
              <w:fldChar w:fldCharType="end"/>
            </w:r>
          </w:hyperlink>
        </w:p>
        <w:p w:rsidR="00B56995" w:rsidRPr="002720C2" w:rsidRDefault="00535F73" w:rsidP="00B56995">
          <w:pPr>
            <w:outlineLvl w:val="2"/>
            <w:rPr>
              <w:b/>
              <w:lang w:val="en-GB"/>
            </w:rPr>
          </w:pPr>
          <w:r w:rsidRPr="002720C2">
            <w:rPr>
              <w:color w:val="343435"/>
              <w:sz w:val="22"/>
              <w:lang w:val="en-GB"/>
            </w:rPr>
            <w:fldChar w:fldCharType="end"/>
          </w:r>
        </w:p>
      </w:sdtContent>
    </w:sdt>
    <w:p w:rsidR="002E2A95" w:rsidRPr="002720C2" w:rsidRDefault="002E2A95" w:rsidP="00A12E0C">
      <w:pPr>
        <w:outlineLvl w:val="2"/>
        <w:rPr>
          <w:lang w:val="en-GB"/>
        </w:rPr>
      </w:pPr>
    </w:p>
    <w:p w:rsidR="00C47B57" w:rsidRPr="002720C2" w:rsidRDefault="00C47B57" w:rsidP="00583F2F">
      <w:pPr>
        <w:pStyle w:val="Text"/>
        <w:rPr>
          <w:rStyle w:val="Heading1Char"/>
          <w:rFonts w:eastAsiaTheme="minorEastAsia" w:cstheme="minorBidi"/>
          <w:bCs w:val="0"/>
          <w:caps w:val="0"/>
          <w:noProof w:val="0"/>
          <w:color w:val="auto"/>
          <w:sz w:val="24"/>
          <w:szCs w:val="22"/>
          <w:lang w:val="en-GB"/>
        </w:rPr>
      </w:pPr>
    </w:p>
    <w:p w:rsidR="00583F2F" w:rsidRPr="002720C2" w:rsidRDefault="00583F2F">
      <w:pPr>
        <w:spacing w:after="200"/>
        <w:rPr>
          <w:rStyle w:val="Heading1Char"/>
          <w:lang w:val="en-GB"/>
        </w:rPr>
      </w:pPr>
      <w:r w:rsidRPr="002720C2">
        <w:rPr>
          <w:rStyle w:val="Heading1Char"/>
          <w:lang w:val="en-GB"/>
        </w:rPr>
        <w:br w:type="page"/>
      </w:r>
    </w:p>
    <w:p w:rsidR="0096634C" w:rsidRPr="002720C2" w:rsidRDefault="008843B9" w:rsidP="008843B9">
      <w:pPr>
        <w:spacing w:before="100" w:beforeAutospacing="1" w:after="240" w:line="440" w:lineRule="atLeast"/>
        <w:ind w:left="360"/>
        <w:outlineLvl w:val="0"/>
        <w:rPr>
          <w:rStyle w:val="Heading1Char"/>
          <w:rFonts w:ascii="Times New Roman" w:eastAsia="Times New Roman" w:hAnsi="Times New Roman" w:cs="Times New Roman"/>
          <w:b/>
          <w:bCs w:val="0"/>
          <w:caps w:val="0"/>
          <w:color w:val="auto"/>
          <w:kern w:val="36"/>
          <w:sz w:val="48"/>
          <w:szCs w:val="48"/>
          <w:lang w:val="en-GB"/>
        </w:rPr>
      </w:pPr>
      <w:bookmarkStart w:id="1" w:name="_Toc396222425"/>
      <w:r w:rsidRPr="002720C2">
        <w:rPr>
          <w:rFonts w:asciiTheme="majorHAnsi" w:eastAsia="Times New Roman" w:hAnsiTheme="majorHAnsi" w:cs="Times New Roman"/>
          <w:color w:val="175F6E"/>
          <w:kern w:val="36"/>
          <w:sz w:val="45"/>
          <w:szCs w:val="45"/>
          <w:lang w:val="en-GB"/>
        </w:rPr>
        <w:lastRenderedPageBreak/>
        <w:t>INTRODUCTION</w:t>
      </w:r>
      <w:bookmarkEnd w:id="1"/>
    </w:p>
    <w:p w:rsidR="009A3528" w:rsidRPr="002720C2" w:rsidRDefault="009A3528" w:rsidP="009A3528">
      <w:pPr>
        <w:spacing w:after="120"/>
        <w:ind w:left="360"/>
        <w:jc w:val="both"/>
        <w:rPr>
          <w:rFonts w:asciiTheme="minorHAnsi" w:eastAsia="Times New Roman" w:hAnsiTheme="minorHAnsi" w:cs="Times New Roman"/>
          <w:sz w:val="22"/>
          <w:lang w:val="en-GB"/>
        </w:rPr>
      </w:pPr>
      <w:r w:rsidRPr="002720C2">
        <w:rPr>
          <w:rFonts w:asciiTheme="minorHAnsi" w:eastAsia="Times New Roman" w:hAnsiTheme="minorHAnsi" w:cs="Times New Roman"/>
          <w:sz w:val="22"/>
          <w:lang w:val="en-GB"/>
        </w:rPr>
        <w:t xml:space="preserve">The aid provided in 2014–2020 by </w:t>
      </w:r>
      <w:r w:rsidRPr="002720C2">
        <w:rPr>
          <w:sz w:val="22"/>
          <w:lang w:val="en-GB"/>
        </w:rPr>
        <w:t>the Fund for European Aid to the Most Deprived</w:t>
      </w:r>
      <w:r w:rsidRPr="002720C2">
        <w:rPr>
          <w:rFonts w:asciiTheme="minorHAnsi" w:eastAsia="Times New Roman" w:hAnsiTheme="minorHAnsi" w:cs="Times New Roman"/>
          <w:sz w:val="22"/>
          <w:lang w:val="en-GB"/>
        </w:rPr>
        <w:t xml:space="preserve"> (hereinafter – the Fund) is one of the new measures proposed by the European Commission (hereinafter – EC), </w:t>
      </w:r>
      <w:r w:rsidR="00B222ED">
        <w:rPr>
          <w:rFonts w:asciiTheme="minorHAnsi" w:eastAsia="Times New Roman" w:hAnsiTheme="minorHAnsi" w:cs="Times New Roman"/>
          <w:sz w:val="22"/>
          <w:lang w:val="en-GB"/>
        </w:rPr>
        <w:t>aimed</w:t>
      </w:r>
      <w:r w:rsidRPr="002720C2">
        <w:rPr>
          <w:rFonts w:asciiTheme="minorHAnsi" w:eastAsia="Times New Roman" w:hAnsiTheme="minorHAnsi" w:cs="Times New Roman"/>
          <w:sz w:val="22"/>
          <w:lang w:val="en-GB"/>
        </w:rPr>
        <w:t xml:space="preserve"> to help the most deprived people (</w:t>
      </w:r>
      <w:r w:rsidRPr="004D31AA">
        <w:rPr>
          <w:rFonts w:asciiTheme="minorHAnsi" w:eastAsia="Times New Roman" w:hAnsiTheme="minorHAnsi" w:cs="Times New Roman"/>
          <w:sz w:val="22"/>
          <w:lang w:val="en-GB"/>
        </w:rPr>
        <w:t xml:space="preserve">including </w:t>
      </w:r>
      <w:r w:rsidR="004D31AA" w:rsidRPr="004D31AA">
        <w:rPr>
          <w:rFonts w:asciiTheme="minorHAnsi" w:eastAsia="Times New Roman" w:hAnsiTheme="minorHAnsi" w:cs="Times New Roman"/>
          <w:sz w:val="22"/>
          <w:lang w:val="en-GB"/>
        </w:rPr>
        <w:t>homeless persons and</w:t>
      </w:r>
      <w:r w:rsidR="004D31AA">
        <w:rPr>
          <w:rFonts w:asciiTheme="minorHAnsi" w:eastAsia="Times New Roman" w:hAnsiTheme="minorHAnsi" w:cs="Times New Roman"/>
          <w:sz w:val="22"/>
          <w:lang w:val="en-GB"/>
        </w:rPr>
        <w:t xml:space="preserve"> </w:t>
      </w:r>
      <w:r w:rsidRPr="002720C2">
        <w:rPr>
          <w:rFonts w:asciiTheme="minorHAnsi" w:eastAsia="Times New Roman" w:hAnsiTheme="minorHAnsi" w:cs="Times New Roman"/>
          <w:sz w:val="22"/>
          <w:lang w:val="en-GB"/>
        </w:rPr>
        <w:t>children suffering from material deprivation) get out of poverty. This will contribute to the achievement of the Eur</w:t>
      </w:r>
      <w:r w:rsidR="004D31AA">
        <w:rPr>
          <w:rFonts w:asciiTheme="minorHAnsi" w:eastAsia="Times New Roman" w:hAnsiTheme="minorHAnsi" w:cs="Times New Roman"/>
          <w:sz w:val="22"/>
          <w:lang w:val="en-GB"/>
        </w:rPr>
        <w:t>ope 2020 strategy’s objective to reduce</w:t>
      </w:r>
      <w:r w:rsidRPr="002720C2">
        <w:rPr>
          <w:rFonts w:asciiTheme="minorHAnsi" w:eastAsia="Times New Roman" w:hAnsiTheme="minorHAnsi" w:cs="Times New Roman"/>
          <w:sz w:val="22"/>
          <w:lang w:val="en-GB"/>
        </w:rPr>
        <w:t xml:space="preserve"> the number of people in or at risk of poverty </w:t>
      </w:r>
      <w:r w:rsidR="004D31AA">
        <w:rPr>
          <w:rFonts w:asciiTheme="minorHAnsi" w:eastAsia="Times New Roman" w:hAnsiTheme="minorHAnsi" w:cs="Times New Roman"/>
          <w:sz w:val="22"/>
          <w:lang w:val="en-GB"/>
        </w:rPr>
        <w:t xml:space="preserve">and social exclusion </w:t>
      </w:r>
      <w:r w:rsidRPr="002720C2">
        <w:rPr>
          <w:rFonts w:asciiTheme="minorHAnsi" w:eastAsia="Times New Roman" w:hAnsiTheme="minorHAnsi" w:cs="Times New Roman"/>
          <w:sz w:val="22"/>
          <w:lang w:val="en-GB"/>
        </w:rPr>
        <w:t xml:space="preserve">by at least 20 million. The Fund </w:t>
      </w:r>
      <w:r w:rsidRPr="002720C2">
        <w:rPr>
          <w:rStyle w:val="Emphasis"/>
          <w:i w:val="0"/>
          <w:sz w:val="22"/>
          <w:lang w:val="en-GB"/>
        </w:rPr>
        <w:t>supports national</w:t>
      </w:r>
      <w:r w:rsidRPr="002720C2">
        <w:rPr>
          <w:rStyle w:val="st"/>
          <w:sz w:val="22"/>
          <w:lang w:val="en-GB"/>
        </w:rPr>
        <w:t xml:space="preserve"> schemes which provide </w:t>
      </w:r>
      <w:r w:rsidRPr="002720C2">
        <w:rPr>
          <w:rStyle w:val="Emphasis"/>
          <w:i w:val="0"/>
          <w:sz w:val="22"/>
          <w:lang w:val="en-GB"/>
        </w:rPr>
        <w:t>non</w:t>
      </w:r>
      <w:r w:rsidRPr="002720C2">
        <w:rPr>
          <w:rStyle w:val="st"/>
          <w:i/>
          <w:sz w:val="22"/>
          <w:lang w:val="en-GB"/>
        </w:rPr>
        <w:t>-</w:t>
      </w:r>
      <w:r w:rsidRPr="002720C2">
        <w:rPr>
          <w:rStyle w:val="Emphasis"/>
          <w:i w:val="0"/>
          <w:sz w:val="22"/>
          <w:lang w:val="en-GB"/>
        </w:rPr>
        <w:t>financial</w:t>
      </w:r>
      <w:r w:rsidRPr="002720C2">
        <w:rPr>
          <w:rStyle w:val="st"/>
          <w:sz w:val="22"/>
          <w:lang w:val="en-GB"/>
        </w:rPr>
        <w:t xml:space="preserve"> assistance</w:t>
      </w:r>
      <w:r w:rsidRPr="002720C2">
        <w:rPr>
          <w:rFonts w:asciiTheme="minorHAnsi" w:eastAsia="Times New Roman" w:hAnsiTheme="minorHAnsi" w:cs="Times New Roman"/>
          <w:sz w:val="22"/>
          <w:lang w:val="en-GB"/>
        </w:rPr>
        <w:t xml:space="preserve"> to</w:t>
      </w:r>
      <w:r w:rsidRPr="002720C2">
        <w:rPr>
          <w:b/>
          <w:bCs/>
          <w:lang w:val="en-GB"/>
        </w:rPr>
        <w:t xml:space="preserve"> </w:t>
      </w:r>
      <w:r w:rsidRPr="002720C2">
        <w:rPr>
          <w:bCs/>
          <w:sz w:val="22"/>
          <w:lang w:val="en-GB"/>
        </w:rPr>
        <w:t xml:space="preserve">address food </w:t>
      </w:r>
      <w:r w:rsidR="004D31AA">
        <w:rPr>
          <w:bCs/>
          <w:sz w:val="22"/>
          <w:lang w:val="en-GB"/>
        </w:rPr>
        <w:t xml:space="preserve">and severe material </w:t>
      </w:r>
      <w:r w:rsidRPr="002720C2">
        <w:rPr>
          <w:bCs/>
          <w:sz w:val="22"/>
          <w:lang w:val="en-GB"/>
        </w:rPr>
        <w:t xml:space="preserve">deprivation </w:t>
      </w:r>
      <w:r w:rsidRPr="002720C2">
        <w:rPr>
          <w:rFonts w:asciiTheme="minorHAnsi" w:eastAsia="Times New Roman" w:hAnsiTheme="minorHAnsi" w:cs="Times New Roman"/>
          <w:sz w:val="22"/>
          <w:lang w:val="en-GB"/>
        </w:rPr>
        <w:t xml:space="preserve">by supplementing the </w:t>
      </w:r>
      <w:r w:rsidR="004D31AA" w:rsidRPr="002720C2">
        <w:rPr>
          <w:rFonts w:asciiTheme="minorHAnsi" w:eastAsia="Times New Roman" w:hAnsiTheme="minorHAnsi" w:cs="Times New Roman"/>
          <w:sz w:val="22"/>
          <w:lang w:val="en-GB"/>
        </w:rPr>
        <w:t xml:space="preserve">interventions </w:t>
      </w:r>
      <w:r w:rsidR="004D31AA">
        <w:rPr>
          <w:rFonts w:asciiTheme="minorHAnsi" w:eastAsia="Times New Roman" w:hAnsiTheme="minorHAnsi" w:cs="Times New Roman"/>
          <w:sz w:val="22"/>
          <w:lang w:val="en-GB"/>
        </w:rPr>
        <w:t>of EU S</w:t>
      </w:r>
      <w:r w:rsidRPr="002720C2">
        <w:rPr>
          <w:rFonts w:asciiTheme="minorHAnsi" w:eastAsia="Times New Roman" w:hAnsiTheme="minorHAnsi" w:cs="Times New Roman"/>
          <w:sz w:val="22"/>
          <w:lang w:val="en-GB"/>
        </w:rPr>
        <w:t>tructural Fund</w:t>
      </w:r>
      <w:r w:rsidR="004D31AA">
        <w:rPr>
          <w:rFonts w:asciiTheme="minorHAnsi" w:eastAsia="Times New Roman" w:hAnsiTheme="minorHAnsi" w:cs="Times New Roman"/>
          <w:sz w:val="22"/>
          <w:lang w:val="en-GB"/>
        </w:rPr>
        <w:t>s</w:t>
      </w:r>
      <w:r w:rsidRPr="002720C2">
        <w:rPr>
          <w:rFonts w:asciiTheme="minorHAnsi" w:eastAsia="Times New Roman" w:hAnsiTheme="minorHAnsi" w:cs="Times New Roman"/>
          <w:sz w:val="22"/>
          <w:lang w:val="en-GB"/>
        </w:rPr>
        <w:t xml:space="preserve"> and other EU and national </w:t>
      </w:r>
      <w:r w:rsidR="004D31AA">
        <w:rPr>
          <w:rFonts w:asciiTheme="minorHAnsi" w:eastAsia="Times New Roman" w:hAnsiTheme="minorHAnsi" w:cs="Times New Roman"/>
          <w:sz w:val="22"/>
          <w:lang w:val="en-GB"/>
        </w:rPr>
        <w:t>policies,</w:t>
      </w:r>
      <w:r w:rsidRPr="002720C2">
        <w:rPr>
          <w:rFonts w:asciiTheme="minorHAnsi" w:eastAsia="Times New Roman" w:hAnsiTheme="minorHAnsi" w:cs="Times New Roman"/>
          <w:sz w:val="22"/>
          <w:lang w:val="en-GB"/>
        </w:rPr>
        <w:t xml:space="preserve"> designated to reduce various forms of poverty and to promote social inclusion of those most deprived. </w:t>
      </w:r>
    </w:p>
    <w:p w:rsidR="00BD7A39" w:rsidRPr="002720C2" w:rsidRDefault="009A3528" w:rsidP="009A3528">
      <w:pPr>
        <w:pStyle w:val="CM1"/>
        <w:spacing w:after="120" w:line="276" w:lineRule="auto"/>
        <w:ind w:left="363"/>
        <w:jc w:val="both"/>
        <w:rPr>
          <w:rFonts w:asciiTheme="majorHAnsi" w:eastAsia="Times New Roman" w:hAnsiTheme="majorHAnsi" w:cs="Times New Roman"/>
          <w:sz w:val="22"/>
          <w:szCs w:val="22"/>
          <w:lang w:val="en-GB"/>
        </w:rPr>
      </w:pPr>
      <w:r w:rsidRPr="002720C2">
        <w:rPr>
          <w:rFonts w:ascii="Cambria" w:eastAsia="Times New Roman" w:hAnsi="Cambria" w:cs="Times New Roman"/>
          <w:sz w:val="22"/>
          <w:szCs w:val="22"/>
          <w:lang w:val="en-GB"/>
        </w:rPr>
        <w:t xml:space="preserve">Regulation (EU) No. 223/2014 of the European Parliament and of the Council on the Fund for European Aid to </w:t>
      </w:r>
      <w:r w:rsidRPr="002720C2">
        <w:rPr>
          <w:rFonts w:asciiTheme="majorHAnsi" w:eastAsia="Times New Roman" w:hAnsiTheme="majorHAnsi" w:cs="Times New Roman"/>
          <w:sz w:val="22"/>
          <w:szCs w:val="22"/>
          <w:lang w:val="en-GB"/>
        </w:rPr>
        <w:t>the Most Deprived</w:t>
      </w:r>
      <w:r w:rsidRPr="002720C2">
        <w:rPr>
          <w:rStyle w:val="FootnoteReference"/>
          <w:rFonts w:asciiTheme="majorHAnsi" w:hAnsiTheme="majorHAnsi"/>
          <w:sz w:val="22"/>
          <w:szCs w:val="22"/>
          <w:lang w:val="en-GB"/>
        </w:rPr>
        <w:footnoteReference w:id="2"/>
      </w:r>
      <w:r w:rsidRPr="002720C2">
        <w:rPr>
          <w:rFonts w:asciiTheme="majorHAnsi" w:eastAsia="Times New Roman" w:hAnsiTheme="majorHAnsi" w:cs="Times New Roman"/>
          <w:sz w:val="22"/>
          <w:szCs w:val="22"/>
          <w:lang w:val="en-GB"/>
        </w:rPr>
        <w:t xml:space="preserve"> (hereinafter – the Regulation) provides that the Member States, taking into account the national context and ensuring the compatibility and c</w:t>
      </w:r>
      <w:r w:rsidRPr="002720C2">
        <w:rPr>
          <w:rFonts w:asciiTheme="majorHAnsi" w:hAnsiTheme="majorHAnsi"/>
          <w:sz w:val="22"/>
          <w:szCs w:val="22"/>
          <w:lang w:val="en-GB"/>
        </w:rPr>
        <w:t xml:space="preserve">omplementarity of the </w:t>
      </w:r>
      <w:r w:rsidRPr="002720C2">
        <w:rPr>
          <w:rFonts w:asciiTheme="majorHAnsi" w:eastAsia="Times New Roman" w:hAnsiTheme="majorHAnsi" w:cs="Times New Roman"/>
          <w:sz w:val="22"/>
          <w:szCs w:val="22"/>
          <w:lang w:val="en-GB"/>
        </w:rPr>
        <w:t xml:space="preserve">Fund’s support </w:t>
      </w:r>
      <w:r w:rsidRPr="002720C2">
        <w:rPr>
          <w:rFonts w:asciiTheme="majorHAnsi" w:hAnsiTheme="majorHAnsi"/>
          <w:sz w:val="22"/>
          <w:szCs w:val="22"/>
          <w:lang w:val="en-GB"/>
        </w:rPr>
        <w:t xml:space="preserve">with the </w:t>
      </w:r>
      <w:r w:rsidRPr="002720C2">
        <w:rPr>
          <w:rFonts w:asciiTheme="majorHAnsi" w:eastAsia="Times New Roman" w:hAnsiTheme="majorHAnsi" w:cs="Times New Roman"/>
          <w:sz w:val="22"/>
          <w:szCs w:val="22"/>
          <w:lang w:val="en-GB"/>
        </w:rPr>
        <w:t xml:space="preserve">relevant EU policies and priorities, </w:t>
      </w:r>
      <w:r w:rsidRPr="002720C2">
        <w:rPr>
          <w:rFonts w:asciiTheme="majorHAnsi" w:hAnsiTheme="majorHAnsi"/>
          <w:sz w:val="22"/>
          <w:szCs w:val="22"/>
          <w:lang w:val="en-GB"/>
        </w:rPr>
        <w:t>within six months of the entry into force of this Regulation,</w:t>
      </w:r>
      <w:r w:rsidRPr="002720C2">
        <w:rPr>
          <w:rFonts w:asciiTheme="majorHAnsi" w:eastAsia="Times New Roman" w:hAnsiTheme="majorHAnsi" w:cs="Times New Roman"/>
          <w:sz w:val="22"/>
          <w:szCs w:val="22"/>
          <w:lang w:val="en-GB"/>
        </w:rPr>
        <w:t xml:space="preserve"> shall develop operational programmes and </w:t>
      </w:r>
      <w:r w:rsidR="004D31AA">
        <w:rPr>
          <w:rFonts w:asciiTheme="majorHAnsi" w:eastAsia="Times New Roman" w:hAnsiTheme="majorHAnsi" w:cs="Times New Roman"/>
          <w:sz w:val="22"/>
          <w:szCs w:val="22"/>
          <w:lang w:val="en-GB"/>
        </w:rPr>
        <w:t>submit</w:t>
      </w:r>
      <w:r w:rsidRPr="002720C2">
        <w:rPr>
          <w:rFonts w:asciiTheme="majorHAnsi" w:eastAsia="Times New Roman" w:hAnsiTheme="majorHAnsi" w:cs="Times New Roman"/>
          <w:sz w:val="22"/>
          <w:szCs w:val="22"/>
          <w:lang w:val="en-GB"/>
        </w:rPr>
        <w:t xml:space="preserve"> them to the European Commission together with the results of the </w:t>
      </w:r>
      <w:r w:rsidRPr="002720C2">
        <w:rPr>
          <w:rFonts w:asciiTheme="majorHAnsi" w:eastAsia="Times New Roman" w:hAnsiTheme="majorHAnsi" w:cs="Times New Roman"/>
          <w:iCs/>
          <w:sz w:val="22"/>
          <w:szCs w:val="22"/>
          <w:lang w:val="en-GB"/>
        </w:rPr>
        <w:t>ex ante</w:t>
      </w:r>
      <w:r w:rsidRPr="002720C2">
        <w:rPr>
          <w:rFonts w:asciiTheme="majorHAnsi" w:eastAsia="Times New Roman" w:hAnsiTheme="majorHAnsi" w:cs="Times New Roman"/>
          <w:sz w:val="22"/>
          <w:szCs w:val="22"/>
          <w:lang w:val="en-GB"/>
        </w:rPr>
        <w:t xml:space="preserve"> evaluation.</w:t>
      </w:r>
      <w:r w:rsidRPr="002720C2">
        <w:rPr>
          <w:rFonts w:asciiTheme="majorHAnsi" w:hAnsiTheme="majorHAnsi"/>
          <w:sz w:val="22"/>
          <w:szCs w:val="22"/>
          <w:lang w:val="en-GB"/>
        </w:rPr>
        <w:t xml:space="preserve"> </w:t>
      </w:r>
      <w:r w:rsidRPr="002720C2">
        <w:rPr>
          <w:rFonts w:asciiTheme="majorHAnsi" w:eastAsia="Times New Roman" w:hAnsiTheme="majorHAnsi" w:cs="Times New Roman"/>
          <w:sz w:val="22"/>
          <w:szCs w:val="22"/>
          <w:lang w:val="en-GB"/>
        </w:rPr>
        <w:t xml:space="preserve">In view of the ex ante evaluation, the EC </w:t>
      </w:r>
      <w:r w:rsidRPr="002720C2">
        <w:rPr>
          <w:rFonts w:asciiTheme="majorHAnsi" w:hAnsiTheme="majorHAnsi"/>
          <w:sz w:val="22"/>
          <w:szCs w:val="22"/>
          <w:lang w:val="en-GB"/>
        </w:rPr>
        <w:t>shall assess the consistency of operational programmes with the provision</w:t>
      </w:r>
      <w:r w:rsidR="00D1373E">
        <w:rPr>
          <w:rFonts w:asciiTheme="majorHAnsi" w:hAnsiTheme="majorHAnsi"/>
          <w:sz w:val="22"/>
          <w:szCs w:val="22"/>
          <w:lang w:val="en-GB"/>
        </w:rPr>
        <w:t>s</w:t>
      </w:r>
      <w:r w:rsidRPr="002720C2">
        <w:rPr>
          <w:rFonts w:asciiTheme="majorHAnsi" w:hAnsiTheme="majorHAnsi"/>
          <w:sz w:val="22"/>
          <w:szCs w:val="22"/>
          <w:lang w:val="en-GB"/>
        </w:rPr>
        <w:t xml:space="preserve"> of the Regulation and its contribution to the objectives of the Fund. Therefore, </w:t>
      </w:r>
      <w:r w:rsidRPr="002720C2">
        <w:rPr>
          <w:rFonts w:asciiTheme="majorHAnsi" w:eastAsia="Times New Roman" w:hAnsiTheme="majorHAnsi" w:cs="Times New Roman"/>
          <w:sz w:val="22"/>
          <w:szCs w:val="22"/>
          <w:lang w:val="en-GB"/>
        </w:rPr>
        <w:t xml:space="preserve">this evaluation becomes particularly important in the context of planning the Fund’s support, </w:t>
      </w:r>
      <w:r w:rsidRPr="002720C2">
        <w:rPr>
          <w:rFonts w:ascii="Cambria" w:eastAsia="Times New Roman" w:hAnsi="Cambria" w:cs="Times New Roman"/>
          <w:sz w:val="22"/>
          <w:szCs w:val="22"/>
          <w:lang w:val="en-GB"/>
        </w:rPr>
        <w:t xml:space="preserve">improving the quality and structure of programmes and verifying whether the aims and objectives can be achieved. </w:t>
      </w:r>
      <w:r w:rsidRPr="002720C2">
        <w:rPr>
          <w:rFonts w:asciiTheme="majorHAnsi" w:eastAsia="Times New Roman" w:hAnsiTheme="majorHAnsi" w:cs="Times New Roman"/>
          <w:sz w:val="22"/>
          <w:szCs w:val="22"/>
          <w:lang w:val="en-GB"/>
        </w:rPr>
        <w:t xml:space="preserve">On the other hand, the Regulation stipulates that the </w:t>
      </w:r>
      <w:r w:rsidRPr="002720C2">
        <w:rPr>
          <w:rFonts w:asciiTheme="majorHAnsi" w:hAnsiTheme="majorHAnsi"/>
          <w:sz w:val="22"/>
          <w:szCs w:val="22"/>
          <w:lang w:val="en-GB"/>
        </w:rPr>
        <w:t xml:space="preserve">evaluations of the Fund‘s support shall not be excessive in comparison to the resources allocated </w:t>
      </w:r>
      <w:r w:rsidR="00D1373E">
        <w:rPr>
          <w:rFonts w:asciiTheme="majorHAnsi" w:hAnsiTheme="majorHAnsi"/>
          <w:sz w:val="22"/>
          <w:szCs w:val="22"/>
          <w:lang w:val="en-GB"/>
        </w:rPr>
        <w:t>and</w:t>
      </w:r>
      <w:r w:rsidRPr="002720C2">
        <w:rPr>
          <w:rFonts w:asciiTheme="majorHAnsi" w:hAnsiTheme="majorHAnsi"/>
          <w:sz w:val="22"/>
          <w:szCs w:val="22"/>
          <w:lang w:val="en-GB"/>
        </w:rPr>
        <w:t xml:space="preserve"> the nature of the support and shall not cause unnecessary administrative burdens</w:t>
      </w:r>
      <w:r w:rsidR="008843B9" w:rsidRPr="002720C2">
        <w:rPr>
          <w:rFonts w:asciiTheme="majorHAnsi" w:eastAsia="Times New Roman" w:hAnsiTheme="majorHAnsi" w:cs="Times New Roman"/>
          <w:sz w:val="22"/>
          <w:szCs w:val="22"/>
          <w:lang w:val="en-GB"/>
        </w:rPr>
        <w:t xml:space="preserve">. </w:t>
      </w:r>
    </w:p>
    <w:p w:rsidR="00767E0C" w:rsidRPr="002720C2" w:rsidRDefault="006832C0" w:rsidP="00596FDB">
      <w:pPr>
        <w:autoSpaceDE w:val="0"/>
        <w:autoSpaceDN w:val="0"/>
        <w:adjustRightInd w:val="0"/>
        <w:jc w:val="both"/>
        <w:rPr>
          <w:rFonts w:cs="Calibri"/>
          <w:sz w:val="22"/>
          <w:lang w:val="en-GB"/>
        </w:rPr>
      </w:pPr>
      <w:r>
        <w:rPr>
          <w:sz w:val="22"/>
          <w:lang w:val="en-GB"/>
        </w:rPr>
      </w:r>
      <w:r>
        <w:rPr>
          <w:sz w:val="22"/>
          <w:lang w:val="en-GB"/>
        </w:rPr>
        <w:pict>
          <v:shape id="Text Box 3" o:spid="_x0000_s1032" type="#_x0000_t202" style="width:498.9pt;height:49.3pt;visibility:visible;mso-left-percent:-10001;mso-top-percent:-10001;mso-position-horizontal:absolute;mso-position-horizontal-relative:char;mso-position-vertical:absolute;mso-position-vertical-relative:line;mso-left-percent:-10001;mso-top-percent:-10001" fillcolor="#f6e2a3" strokecolor="#fcc771 [3044]">
            <v:shadow on="t" color="black" opacity="24903f" origin=",.5" offset="0,.55556mm"/>
            <v:textbox style="mso-next-textbox:#Text Box 3" inset="3mm,3mm,3mm,3mm">
              <w:txbxContent>
                <w:p w:rsidR="00F831FE" w:rsidRPr="0063744E" w:rsidRDefault="00F831FE" w:rsidP="001A7A6C">
                  <w:pPr>
                    <w:ind w:left="57"/>
                    <w:jc w:val="both"/>
                    <w:rPr>
                      <w:sz w:val="22"/>
                      <w:lang w:val="en-GB"/>
                    </w:rPr>
                  </w:pPr>
                  <w:r w:rsidRPr="0063744E">
                    <w:rPr>
                      <w:sz w:val="22"/>
                      <w:lang w:val="en-GB"/>
                    </w:rPr>
                    <w:t>The main objective of the ex ante evaluation is to improve the quality of planning and implem</w:t>
                  </w:r>
                  <w:r>
                    <w:rPr>
                      <w:sz w:val="22"/>
                      <w:lang w:val="en-GB"/>
                    </w:rPr>
                    <w:t>e</w:t>
                  </w:r>
                  <w:r w:rsidRPr="0063744E">
                    <w:rPr>
                      <w:sz w:val="22"/>
                      <w:lang w:val="en-GB"/>
                    </w:rPr>
                    <w:t>ntation of Eu</w:t>
                  </w:r>
                  <w:r>
                    <w:rPr>
                      <w:sz w:val="22"/>
                      <w:lang w:val="en-GB"/>
                    </w:rPr>
                    <w:t>ropean aid to</w:t>
                  </w:r>
                  <w:r w:rsidRPr="0063744E">
                    <w:rPr>
                      <w:sz w:val="22"/>
                      <w:lang w:val="en-GB"/>
                    </w:rPr>
                    <w:t xml:space="preserve"> the most deprived in Lithuania in 2014–2020.</w:t>
                  </w:r>
                </w:p>
                <w:p w:rsidR="00F831FE" w:rsidRPr="0063744E" w:rsidRDefault="00F831FE" w:rsidP="001A7A6C">
                  <w:pPr>
                    <w:ind w:left="57"/>
                    <w:jc w:val="both"/>
                    <w:rPr>
                      <w:b/>
                      <w:color w:val="FFFFFF"/>
                      <w:sz w:val="20"/>
                      <w:szCs w:val="20"/>
                      <w:lang w:val="en-GB"/>
                    </w:rPr>
                  </w:pPr>
                </w:p>
                <w:p w:rsidR="00F831FE" w:rsidRPr="003B6C6A" w:rsidRDefault="00F831FE" w:rsidP="001A7A6C">
                  <w:pPr>
                    <w:ind w:left="57"/>
                    <w:jc w:val="both"/>
                    <w:rPr>
                      <w:b/>
                      <w:color w:val="FFFFFF"/>
                      <w:sz w:val="20"/>
                      <w:szCs w:val="20"/>
                    </w:rPr>
                  </w:pPr>
                </w:p>
                <w:p w:rsidR="00F831FE" w:rsidRPr="003B6C6A" w:rsidRDefault="00F831FE" w:rsidP="001A7A6C">
                  <w:pPr>
                    <w:ind w:left="57"/>
                    <w:jc w:val="both"/>
                    <w:rPr>
                      <w:b/>
                      <w:color w:val="FFFFFF"/>
                      <w:sz w:val="20"/>
                      <w:szCs w:val="20"/>
                    </w:rPr>
                  </w:pPr>
                </w:p>
              </w:txbxContent>
            </v:textbox>
            <w10:wrap type="none"/>
            <w10:anchorlock/>
          </v:shape>
        </w:pict>
      </w:r>
    </w:p>
    <w:p w:rsidR="009077E5" w:rsidRPr="002720C2" w:rsidRDefault="009A3528" w:rsidP="00A14871">
      <w:pPr>
        <w:spacing w:before="100" w:beforeAutospacing="1" w:after="100" w:afterAutospacing="1"/>
        <w:ind w:left="360"/>
        <w:jc w:val="both"/>
        <w:rPr>
          <w:rFonts w:eastAsia="Times New Roman" w:cs="Times New Roman"/>
          <w:bCs/>
          <w:sz w:val="22"/>
          <w:lang w:val="en-GB"/>
        </w:rPr>
      </w:pPr>
      <w:r w:rsidRPr="002720C2">
        <w:rPr>
          <w:sz w:val="22"/>
          <w:lang w:val="en-GB"/>
        </w:rPr>
        <w:t xml:space="preserve">Ex ante evaluation </w:t>
      </w:r>
      <w:r w:rsidR="00D1373E">
        <w:rPr>
          <w:sz w:val="22"/>
          <w:lang w:val="en-GB"/>
        </w:rPr>
        <w:t>is</w:t>
      </w:r>
      <w:r w:rsidRPr="002720C2">
        <w:rPr>
          <w:sz w:val="22"/>
          <w:lang w:val="en-GB"/>
        </w:rPr>
        <w:t xml:space="preserve"> </w:t>
      </w:r>
      <w:r w:rsidR="00D1373E">
        <w:rPr>
          <w:sz w:val="22"/>
          <w:lang w:val="en-GB"/>
        </w:rPr>
        <w:t xml:space="preserve">conducted </w:t>
      </w:r>
      <w:r w:rsidRPr="002720C2">
        <w:rPr>
          <w:sz w:val="22"/>
          <w:lang w:val="en-GB"/>
        </w:rPr>
        <w:t>under the responsibility of the authority responsible for preparing the operational programme</w:t>
      </w:r>
      <w:r w:rsidRPr="002720C2">
        <w:rPr>
          <w:rFonts w:eastAsia="Times New Roman" w:cs="Times New Roman"/>
          <w:bCs/>
          <w:sz w:val="22"/>
          <w:lang w:val="en-GB"/>
        </w:rPr>
        <w:t xml:space="preserve"> in the M</w:t>
      </w:r>
      <w:r w:rsidR="00D1373E">
        <w:rPr>
          <w:rFonts w:eastAsia="Times New Roman" w:cs="Times New Roman"/>
          <w:bCs/>
          <w:sz w:val="22"/>
          <w:lang w:val="en-GB"/>
        </w:rPr>
        <w:t>ember States. In Lithuania, this</w:t>
      </w:r>
      <w:r w:rsidRPr="002720C2">
        <w:rPr>
          <w:rFonts w:eastAsia="Times New Roman" w:cs="Times New Roman"/>
          <w:bCs/>
          <w:sz w:val="22"/>
          <w:lang w:val="en-GB"/>
        </w:rPr>
        <w:t xml:space="preserve"> authority is the Ministry of Social Security and Labour of the Republic of Lithuania</w:t>
      </w:r>
      <w:r w:rsidRPr="002720C2">
        <w:rPr>
          <w:rStyle w:val="FootnoteReference"/>
          <w:rFonts w:cs="Calibri"/>
          <w:sz w:val="22"/>
          <w:lang w:val="en-GB"/>
        </w:rPr>
        <w:footnoteReference w:id="3"/>
      </w:r>
      <w:r w:rsidRPr="002720C2">
        <w:rPr>
          <w:rFonts w:eastAsia="Times New Roman" w:cs="Times New Roman"/>
          <w:bCs/>
          <w:sz w:val="22"/>
          <w:lang w:val="en-GB"/>
        </w:rPr>
        <w:t>. In view of the fact that in 2014–2020 the so-called OP I operational programme will be prepared in Lithuania</w:t>
      </w:r>
      <w:r w:rsidRPr="002720C2">
        <w:rPr>
          <w:rStyle w:val="FootnoteReference"/>
          <w:rFonts w:cs="Calibri"/>
          <w:sz w:val="22"/>
          <w:lang w:val="en-GB"/>
        </w:rPr>
        <w:footnoteReference w:id="4"/>
      </w:r>
      <w:r w:rsidRPr="002720C2">
        <w:rPr>
          <w:rFonts w:eastAsia="Times New Roman" w:cs="Times New Roman"/>
          <w:bCs/>
          <w:sz w:val="22"/>
          <w:lang w:val="en-GB"/>
        </w:rPr>
        <w:t>, e</w:t>
      </w:r>
      <w:r w:rsidRPr="002720C2">
        <w:rPr>
          <w:sz w:val="22"/>
          <w:lang w:val="en-GB"/>
        </w:rPr>
        <w:t>x ante evaluations shall appraise the following elements</w:t>
      </w:r>
      <w:r w:rsidR="00843BC8" w:rsidRPr="002720C2">
        <w:rPr>
          <w:rFonts w:eastAsia="Times New Roman" w:cs="Times New Roman"/>
          <w:bCs/>
          <w:sz w:val="22"/>
          <w:lang w:val="en-GB"/>
        </w:rPr>
        <w:t xml:space="preserve">: </w:t>
      </w:r>
    </w:p>
    <w:p w:rsidR="007D4662" w:rsidRPr="002720C2" w:rsidRDefault="00D41A93" w:rsidP="00A14871">
      <w:pPr>
        <w:numPr>
          <w:ilvl w:val="0"/>
          <w:numId w:val="17"/>
        </w:numPr>
        <w:spacing w:before="100" w:beforeAutospacing="1" w:after="100" w:afterAutospacing="1"/>
        <w:jc w:val="both"/>
        <w:rPr>
          <w:rFonts w:asciiTheme="majorHAnsi" w:eastAsia="Times New Roman" w:hAnsiTheme="majorHAnsi" w:cs="Times New Roman"/>
          <w:bCs/>
          <w:sz w:val="22"/>
          <w:lang w:val="en-GB"/>
        </w:rPr>
      </w:pPr>
      <w:r w:rsidRPr="002720C2">
        <w:rPr>
          <w:rFonts w:eastAsia="Times New Roman" w:cs="Times New Roman"/>
          <w:bCs/>
          <w:sz w:val="22"/>
          <w:lang w:val="en-GB"/>
        </w:rPr>
        <w:t>t</w:t>
      </w:r>
      <w:r w:rsidR="00A47BEC" w:rsidRPr="002720C2">
        <w:rPr>
          <w:sz w:val="22"/>
          <w:lang w:val="en-GB"/>
        </w:rPr>
        <w:t>he contribution to the Union</w:t>
      </w:r>
      <w:r w:rsidR="002B2434">
        <w:rPr>
          <w:sz w:val="22"/>
          <w:lang w:val="en-GB"/>
        </w:rPr>
        <w:t>’s</w:t>
      </w:r>
      <w:r w:rsidR="00A47BEC" w:rsidRPr="002720C2">
        <w:rPr>
          <w:sz w:val="22"/>
          <w:lang w:val="en-GB"/>
        </w:rPr>
        <w:t xml:space="preserve"> objective of at least 20 million fewer people living in poverty or at risk of </w:t>
      </w:r>
      <w:r w:rsidR="00A47BEC" w:rsidRPr="002720C2">
        <w:rPr>
          <w:rFonts w:asciiTheme="majorHAnsi" w:hAnsiTheme="majorHAnsi"/>
          <w:sz w:val="22"/>
          <w:lang w:val="en-GB"/>
        </w:rPr>
        <w:t xml:space="preserve">poverty and social exclusion by 2020, having regard to the selected type of material </w:t>
      </w:r>
      <w:r w:rsidR="00A47BEC" w:rsidRPr="002720C2">
        <w:rPr>
          <w:rFonts w:asciiTheme="majorHAnsi" w:hAnsiTheme="majorHAnsi"/>
          <w:sz w:val="22"/>
          <w:lang w:val="en-GB"/>
        </w:rPr>
        <w:lastRenderedPageBreak/>
        <w:t>deprivation to be addressed and taking into account national circumstances in terms of poverty and social exclusion and material deprivation</w:t>
      </w:r>
      <w:r w:rsidRPr="002720C2">
        <w:rPr>
          <w:rFonts w:asciiTheme="majorHAnsi" w:hAnsiTheme="majorHAnsi"/>
          <w:sz w:val="22"/>
          <w:lang w:val="en-GB"/>
        </w:rPr>
        <w:t>;</w:t>
      </w:r>
    </w:p>
    <w:p w:rsidR="007D4662" w:rsidRPr="002720C2" w:rsidRDefault="00A47BEC" w:rsidP="00843BC8">
      <w:pPr>
        <w:numPr>
          <w:ilvl w:val="0"/>
          <w:numId w:val="17"/>
        </w:numPr>
        <w:spacing w:before="60" w:after="60" w:line="260" w:lineRule="atLeast"/>
        <w:jc w:val="both"/>
        <w:rPr>
          <w:rFonts w:asciiTheme="majorHAnsi" w:eastAsia="Times New Roman" w:hAnsiTheme="majorHAnsi" w:cs="Times New Roman"/>
          <w:bCs/>
          <w:sz w:val="22"/>
          <w:lang w:val="en-GB"/>
        </w:rPr>
      </w:pPr>
      <w:r w:rsidRPr="002720C2">
        <w:rPr>
          <w:rFonts w:asciiTheme="majorHAnsi" w:hAnsiTheme="majorHAnsi"/>
          <w:sz w:val="22"/>
          <w:lang w:val="en-GB"/>
        </w:rPr>
        <w:t>coherence of the proposed operational programme and its relation with other relevant financial instruments</w:t>
      </w:r>
      <w:r w:rsidR="00843BC8" w:rsidRPr="002720C2">
        <w:rPr>
          <w:rFonts w:asciiTheme="majorHAnsi" w:eastAsia="Times New Roman" w:hAnsiTheme="majorHAnsi" w:cs="Times New Roman"/>
          <w:bCs/>
          <w:sz w:val="22"/>
          <w:lang w:val="en-GB"/>
        </w:rPr>
        <w:t xml:space="preserve">; </w:t>
      </w:r>
    </w:p>
    <w:p w:rsidR="00596FDB" w:rsidRPr="002720C2" w:rsidRDefault="00D41A93" w:rsidP="00843BC8">
      <w:pPr>
        <w:numPr>
          <w:ilvl w:val="0"/>
          <w:numId w:val="17"/>
        </w:numPr>
        <w:spacing w:before="60" w:after="60" w:line="260" w:lineRule="atLeast"/>
        <w:jc w:val="both"/>
        <w:rPr>
          <w:rFonts w:asciiTheme="majorHAnsi" w:eastAsia="Times New Roman" w:hAnsiTheme="majorHAnsi" w:cs="Times New Roman"/>
          <w:bCs/>
          <w:sz w:val="22"/>
          <w:lang w:val="en-GB"/>
        </w:rPr>
      </w:pPr>
      <w:r w:rsidRPr="002720C2">
        <w:rPr>
          <w:rFonts w:asciiTheme="majorHAnsi" w:hAnsiTheme="majorHAnsi"/>
          <w:sz w:val="22"/>
          <w:lang w:val="en-GB"/>
        </w:rPr>
        <w:t>the consistency of the allocation of budgetary resources with the objectives of the operational programme</w:t>
      </w:r>
      <w:r w:rsidR="00843BC8" w:rsidRPr="002720C2">
        <w:rPr>
          <w:rFonts w:asciiTheme="majorHAnsi" w:eastAsia="Times New Roman" w:hAnsiTheme="majorHAnsi" w:cs="Times New Roman"/>
          <w:bCs/>
          <w:sz w:val="22"/>
          <w:lang w:val="en-GB"/>
        </w:rPr>
        <w:t>;</w:t>
      </w:r>
      <w:r w:rsidR="00596FDB" w:rsidRPr="002720C2">
        <w:rPr>
          <w:rFonts w:asciiTheme="majorHAnsi" w:hAnsiTheme="majorHAnsi" w:cs="EUAlbertina"/>
          <w:color w:val="000000"/>
          <w:sz w:val="22"/>
          <w:lang w:val="en-GB"/>
        </w:rPr>
        <w:t xml:space="preserve"> </w:t>
      </w:r>
    </w:p>
    <w:p w:rsidR="00596FDB" w:rsidRPr="002720C2" w:rsidRDefault="004B23ED" w:rsidP="00843BC8">
      <w:pPr>
        <w:numPr>
          <w:ilvl w:val="0"/>
          <w:numId w:val="17"/>
        </w:numPr>
        <w:spacing w:before="60" w:after="60" w:line="260" w:lineRule="atLeast"/>
        <w:jc w:val="both"/>
        <w:rPr>
          <w:rFonts w:asciiTheme="majorHAnsi" w:eastAsia="Times New Roman" w:hAnsiTheme="majorHAnsi" w:cs="Times New Roman"/>
          <w:bCs/>
          <w:sz w:val="22"/>
          <w:lang w:val="en-GB"/>
        </w:rPr>
      </w:pPr>
      <w:r w:rsidRPr="002720C2">
        <w:rPr>
          <w:rFonts w:asciiTheme="majorHAnsi" w:eastAsia="Times New Roman" w:hAnsiTheme="majorHAnsi" w:cs="Times New Roman"/>
          <w:sz w:val="22"/>
          <w:lang w:val="en-GB"/>
        </w:rPr>
        <w:t>the contribution of the expected outputs to the results and thus to the objectives of the Fund</w:t>
      </w:r>
      <w:r w:rsidR="00843BC8" w:rsidRPr="002720C2">
        <w:rPr>
          <w:rFonts w:asciiTheme="majorHAnsi" w:eastAsia="Times New Roman" w:hAnsiTheme="majorHAnsi" w:cs="Times New Roman"/>
          <w:bCs/>
          <w:sz w:val="22"/>
          <w:lang w:val="en-GB"/>
        </w:rPr>
        <w:t>;</w:t>
      </w:r>
      <w:r w:rsidR="00596FDB" w:rsidRPr="002720C2">
        <w:rPr>
          <w:rFonts w:asciiTheme="majorHAnsi" w:hAnsiTheme="majorHAnsi" w:cs="EUAlbertina"/>
          <w:color w:val="000000"/>
          <w:sz w:val="22"/>
          <w:lang w:val="en-GB"/>
        </w:rPr>
        <w:t xml:space="preserve"> </w:t>
      </w:r>
    </w:p>
    <w:p w:rsidR="00596FDB" w:rsidRPr="002720C2" w:rsidRDefault="00253C7F" w:rsidP="00843BC8">
      <w:pPr>
        <w:numPr>
          <w:ilvl w:val="0"/>
          <w:numId w:val="17"/>
        </w:numPr>
        <w:spacing w:before="60" w:after="60" w:line="260" w:lineRule="atLeast"/>
        <w:jc w:val="both"/>
        <w:rPr>
          <w:rFonts w:asciiTheme="majorHAnsi" w:eastAsia="Times New Roman" w:hAnsiTheme="majorHAnsi" w:cs="Times New Roman"/>
          <w:bCs/>
          <w:sz w:val="22"/>
          <w:lang w:val="en-GB"/>
        </w:rPr>
      </w:pPr>
      <w:r w:rsidRPr="002720C2">
        <w:rPr>
          <w:sz w:val="22"/>
          <w:lang w:val="en-GB"/>
        </w:rPr>
        <w:t>the involvement of relevant stakeholders</w:t>
      </w:r>
      <w:r w:rsidR="00596FDB" w:rsidRPr="002720C2">
        <w:rPr>
          <w:rFonts w:asciiTheme="majorHAnsi" w:hAnsiTheme="majorHAnsi" w:cs="EUAlbertina"/>
          <w:color w:val="000000"/>
          <w:sz w:val="22"/>
          <w:lang w:val="en-GB"/>
        </w:rPr>
        <w:t xml:space="preserve">; </w:t>
      </w:r>
    </w:p>
    <w:p w:rsidR="00596FDB" w:rsidRPr="002720C2" w:rsidRDefault="00AD0910" w:rsidP="00843BC8">
      <w:pPr>
        <w:numPr>
          <w:ilvl w:val="0"/>
          <w:numId w:val="17"/>
        </w:numPr>
        <w:spacing w:before="100" w:beforeAutospacing="1" w:after="120" w:line="240" w:lineRule="auto"/>
        <w:ind w:right="60"/>
        <w:jc w:val="both"/>
        <w:rPr>
          <w:rFonts w:eastAsia="Times New Roman" w:cs="Times New Roman"/>
          <w:bCs/>
          <w:sz w:val="22"/>
          <w:lang w:val="en-GB"/>
        </w:rPr>
      </w:pPr>
      <w:r w:rsidRPr="002720C2">
        <w:rPr>
          <w:sz w:val="22"/>
          <w:lang w:val="en-GB"/>
        </w:rPr>
        <w:t>t</w:t>
      </w:r>
      <w:r w:rsidR="00253C7F" w:rsidRPr="002720C2">
        <w:rPr>
          <w:sz w:val="22"/>
          <w:lang w:val="en-GB"/>
        </w:rPr>
        <w:t>he suitability of the procedures for monitoring the operational programme and for collecting the data necessary to carry out evaluations</w:t>
      </w:r>
      <w:r w:rsidR="00596FDB" w:rsidRPr="002720C2">
        <w:rPr>
          <w:rStyle w:val="FootnoteReference"/>
          <w:rFonts w:cs="EUAlbertina"/>
          <w:color w:val="000000"/>
          <w:sz w:val="22"/>
          <w:lang w:val="en-GB"/>
        </w:rPr>
        <w:footnoteReference w:id="5"/>
      </w:r>
      <w:r w:rsidR="00596FDB" w:rsidRPr="002720C2">
        <w:rPr>
          <w:rFonts w:cs="EUAlbertina"/>
          <w:color w:val="000000"/>
          <w:sz w:val="22"/>
          <w:lang w:val="en-GB"/>
        </w:rPr>
        <w:t>.</w:t>
      </w:r>
    </w:p>
    <w:p w:rsidR="00CA7316" w:rsidRPr="002720C2" w:rsidRDefault="009A3528" w:rsidP="00440F15">
      <w:pPr>
        <w:autoSpaceDE w:val="0"/>
        <w:autoSpaceDN w:val="0"/>
        <w:adjustRightInd w:val="0"/>
        <w:ind w:left="363"/>
        <w:jc w:val="both"/>
        <w:rPr>
          <w:rFonts w:eastAsia="Times New Roman" w:cs="Times New Roman"/>
          <w:bCs/>
          <w:sz w:val="22"/>
          <w:lang w:val="en-GB"/>
        </w:rPr>
      </w:pPr>
      <w:r w:rsidRPr="002720C2">
        <w:rPr>
          <w:rFonts w:eastAsia="Times New Roman" w:cs="Times New Roman"/>
          <w:bCs/>
          <w:sz w:val="22"/>
          <w:lang w:val="en-GB"/>
        </w:rPr>
        <w:t>It is important that the e</w:t>
      </w:r>
      <w:r w:rsidRPr="002720C2">
        <w:rPr>
          <w:sz w:val="22"/>
          <w:lang w:val="en-GB"/>
        </w:rPr>
        <w:t xml:space="preserve">x ante evaluations of the </w:t>
      </w:r>
      <w:r w:rsidRPr="002720C2">
        <w:rPr>
          <w:rFonts w:eastAsia="Times New Roman" w:cs="Times New Roman"/>
          <w:bCs/>
          <w:sz w:val="22"/>
          <w:lang w:val="en-GB"/>
        </w:rPr>
        <w:t>Fund’s operational programme would, in addition to other aspects, explain the intervention logic or theory of change: how specific actions will contribute to the achievement of objectives and resul</w:t>
      </w:r>
      <w:r w:rsidR="00171524">
        <w:rPr>
          <w:rFonts w:eastAsia="Times New Roman" w:cs="Times New Roman"/>
          <w:bCs/>
          <w:sz w:val="22"/>
          <w:lang w:val="en-GB"/>
        </w:rPr>
        <w:t>ts and also to the efficient allocations</w:t>
      </w:r>
      <w:r w:rsidRPr="002720C2">
        <w:rPr>
          <w:rFonts w:eastAsia="Times New Roman" w:cs="Times New Roman"/>
          <w:bCs/>
          <w:sz w:val="22"/>
          <w:lang w:val="en-GB"/>
        </w:rPr>
        <w:t xml:space="preserve"> of the Fund</w:t>
      </w:r>
      <w:r w:rsidR="00171524">
        <w:rPr>
          <w:rFonts w:eastAsia="Times New Roman" w:cs="Times New Roman"/>
          <w:bCs/>
          <w:sz w:val="22"/>
          <w:lang w:val="en-GB"/>
        </w:rPr>
        <w:t>’s budgetary resources</w:t>
      </w:r>
      <w:r w:rsidRPr="002720C2">
        <w:rPr>
          <w:rFonts w:eastAsia="Times New Roman" w:cs="Times New Roman"/>
          <w:bCs/>
          <w:sz w:val="22"/>
          <w:lang w:val="en-GB"/>
        </w:rPr>
        <w:t xml:space="preserve">. </w:t>
      </w:r>
      <w:r w:rsidR="00171524">
        <w:rPr>
          <w:rFonts w:eastAsia="Times New Roman" w:cs="Times New Roman"/>
          <w:bCs/>
          <w:sz w:val="22"/>
          <w:lang w:val="en-GB"/>
        </w:rPr>
        <w:t>Also, t</w:t>
      </w:r>
      <w:r w:rsidRPr="002720C2">
        <w:rPr>
          <w:rFonts w:eastAsia="Times New Roman" w:cs="Times New Roman"/>
          <w:bCs/>
          <w:sz w:val="22"/>
          <w:lang w:val="en-GB"/>
        </w:rPr>
        <w:t>here is a strong focus on monitoring indicators and the functioning of monitoring and evaluation systems. In this report, ex ante evaluation results are provided according to the requirements for OP I operational programmes laid down in the Regulation and the evaluation questions provided in the Te</w:t>
      </w:r>
      <w:r w:rsidR="00E45C81">
        <w:rPr>
          <w:rFonts w:eastAsia="Times New Roman" w:cs="Times New Roman"/>
          <w:bCs/>
          <w:sz w:val="22"/>
          <w:lang w:val="en-GB"/>
        </w:rPr>
        <w:t>rms of Reference</w:t>
      </w:r>
      <w:r w:rsidRPr="002720C2">
        <w:rPr>
          <w:rFonts w:eastAsia="Times New Roman" w:cs="Times New Roman"/>
          <w:bCs/>
          <w:sz w:val="22"/>
          <w:lang w:val="en-GB"/>
        </w:rPr>
        <w:t xml:space="preserve">. </w:t>
      </w:r>
      <w:r w:rsidR="00171524">
        <w:rPr>
          <w:rFonts w:eastAsia="Times New Roman" w:cs="Times New Roman"/>
          <w:bCs/>
          <w:sz w:val="22"/>
          <w:lang w:val="en-GB"/>
        </w:rPr>
        <w:t>Based on analysis conducted, r</w:t>
      </w:r>
      <w:r w:rsidRPr="002720C2">
        <w:rPr>
          <w:rFonts w:eastAsia="Times New Roman" w:cs="Times New Roman"/>
          <w:bCs/>
          <w:sz w:val="22"/>
          <w:lang w:val="en-GB"/>
        </w:rPr>
        <w:t xml:space="preserve">ecommendations and proposals for the operational programme, its administration </w:t>
      </w:r>
      <w:r w:rsidR="001E02EF">
        <w:rPr>
          <w:rFonts w:eastAsia="Times New Roman" w:cs="Times New Roman"/>
          <w:bCs/>
          <w:sz w:val="22"/>
          <w:lang w:val="en-GB"/>
        </w:rPr>
        <w:t>system</w:t>
      </w:r>
      <w:r w:rsidRPr="002720C2">
        <w:rPr>
          <w:rFonts w:eastAsia="Times New Roman" w:cs="Times New Roman"/>
          <w:bCs/>
          <w:sz w:val="22"/>
          <w:lang w:val="en-GB"/>
        </w:rPr>
        <w:t xml:space="preserve"> and administrative capacities of the authorities and applicants are also </w:t>
      </w:r>
      <w:r w:rsidR="00171524">
        <w:rPr>
          <w:rFonts w:eastAsia="Times New Roman" w:cs="Times New Roman"/>
          <w:bCs/>
          <w:sz w:val="22"/>
          <w:lang w:val="en-GB"/>
        </w:rPr>
        <w:t>provided</w:t>
      </w:r>
      <w:r w:rsidR="007E5122" w:rsidRPr="002720C2">
        <w:rPr>
          <w:rFonts w:eastAsia="Times New Roman" w:cs="Times New Roman"/>
          <w:bCs/>
          <w:sz w:val="22"/>
          <w:lang w:val="en-GB"/>
        </w:rPr>
        <w:t xml:space="preserve">. </w:t>
      </w:r>
    </w:p>
    <w:p w:rsidR="00CA7316" w:rsidRPr="002720C2" w:rsidRDefault="00CA7316" w:rsidP="00440F15">
      <w:pPr>
        <w:autoSpaceDE w:val="0"/>
        <w:autoSpaceDN w:val="0"/>
        <w:adjustRightInd w:val="0"/>
        <w:ind w:left="363"/>
        <w:jc w:val="both"/>
        <w:rPr>
          <w:rFonts w:eastAsia="Times New Roman" w:cs="Times New Roman"/>
          <w:bCs/>
          <w:sz w:val="22"/>
          <w:lang w:val="en-GB"/>
        </w:rPr>
      </w:pPr>
    </w:p>
    <w:p w:rsidR="00794F1C" w:rsidRPr="002720C2" w:rsidRDefault="007E5122" w:rsidP="007E5122">
      <w:pPr>
        <w:spacing w:line="240" w:lineRule="auto"/>
        <w:ind w:left="360"/>
        <w:rPr>
          <w:rFonts w:eastAsia="Times New Roman" w:cs="Times New Roman"/>
          <w:b/>
          <w:bCs/>
          <w:sz w:val="22"/>
          <w:lang w:val="en-GB"/>
        </w:rPr>
      </w:pPr>
      <w:r w:rsidRPr="002720C2">
        <w:rPr>
          <w:rFonts w:eastAsia="Times New Roman" w:cs="Times New Roman"/>
          <w:b/>
          <w:bCs/>
          <w:sz w:val="22"/>
          <w:lang w:val="en-GB"/>
        </w:rPr>
        <w:t xml:space="preserve">Table </w:t>
      </w:r>
      <w:r w:rsidR="00535F73" w:rsidRPr="002720C2">
        <w:rPr>
          <w:b/>
          <w:lang w:val="en-GB"/>
        </w:rPr>
        <w:fldChar w:fldCharType="begin"/>
      </w:r>
      <w:r w:rsidR="001338A3" w:rsidRPr="002720C2">
        <w:rPr>
          <w:b/>
          <w:lang w:val="en-GB"/>
        </w:rPr>
        <w:instrText xml:space="preserve"> SEQ Table \* ARABIC </w:instrText>
      </w:r>
      <w:r w:rsidR="00535F73" w:rsidRPr="002720C2">
        <w:rPr>
          <w:b/>
          <w:lang w:val="en-GB"/>
        </w:rPr>
        <w:fldChar w:fldCharType="separate"/>
      </w:r>
      <w:r w:rsidR="001338A3" w:rsidRPr="002720C2">
        <w:rPr>
          <w:b/>
          <w:lang w:val="en-GB"/>
        </w:rPr>
        <w:t>1</w:t>
      </w:r>
      <w:r w:rsidR="00535F73" w:rsidRPr="002720C2">
        <w:rPr>
          <w:b/>
          <w:lang w:val="en-GB"/>
        </w:rPr>
        <w:fldChar w:fldCharType="end"/>
      </w:r>
      <w:r w:rsidRPr="002720C2">
        <w:rPr>
          <w:rFonts w:eastAsia="Times New Roman" w:cs="Times New Roman"/>
          <w:b/>
          <w:bCs/>
          <w:sz w:val="22"/>
          <w:lang w:val="en-GB"/>
        </w:rPr>
        <w:t xml:space="preserve">. </w:t>
      </w:r>
      <w:r w:rsidR="00FC591F" w:rsidRPr="002720C2">
        <w:rPr>
          <w:rFonts w:eastAsia="Times New Roman" w:cs="Times New Roman"/>
          <w:b/>
          <w:bCs/>
          <w:sz w:val="22"/>
          <w:lang w:val="en-GB"/>
        </w:rPr>
        <w:t>Ex ante evaluation r</w:t>
      </w:r>
      <w:r w:rsidRPr="002720C2">
        <w:rPr>
          <w:rFonts w:eastAsia="Times New Roman" w:cs="Times New Roman"/>
          <w:b/>
          <w:bCs/>
          <w:sz w:val="22"/>
          <w:lang w:val="en-GB"/>
        </w:rPr>
        <w:t xml:space="preserve">eport </w:t>
      </w:r>
      <w:r w:rsidR="00FC591F" w:rsidRPr="002720C2">
        <w:rPr>
          <w:rFonts w:eastAsia="Times New Roman" w:cs="Times New Roman"/>
          <w:b/>
          <w:bCs/>
          <w:sz w:val="22"/>
          <w:lang w:val="en-GB"/>
        </w:rPr>
        <w:t>m</w:t>
      </w:r>
      <w:r w:rsidRPr="002720C2">
        <w:rPr>
          <w:rFonts w:eastAsia="Times New Roman" w:cs="Times New Roman"/>
          <w:b/>
          <w:bCs/>
          <w:sz w:val="22"/>
          <w:lang w:val="en-GB"/>
        </w:rPr>
        <w:t>ap</w:t>
      </w:r>
    </w:p>
    <w:tbl>
      <w:tblPr>
        <w:tblStyle w:val="VPVILentele1"/>
        <w:tblW w:w="0" w:type="auto"/>
        <w:tblInd w:w="534" w:type="dxa"/>
        <w:tblLook w:val="04A0" w:firstRow="1" w:lastRow="0" w:firstColumn="1" w:lastColumn="0" w:noHBand="0" w:noVBand="1"/>
      </w:tblPr>
      <w:tblGrid>
        <w:gridCol w:w="2126"/>
        <w:gridCol w:w="2977"/>
        <w:gridCol w:w="4665"/>
      </w:tblGrid>
      <w:tr w:rsidR="00A00DA8" w:rsidRPr="002720C2" w:rsidTr="00497F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6" w:type="dxa"/>
            <w:vAlign w:val="center"/>
          </w:tcPr>
          <w:p w:rsidR="00280482" w:rsidRPr="002720C2" w:rsidRDefault="00280482" w:rsidP="00497FDB">
            <w:pPr>
              <w:spacing w:before="100" w:beforeAutospacing="1" w:after="100" w:afterAutospacing="1" w:line="240" w:lineRule="auto"/>
              <w:jc w:val="center"/>
              <w:rPr>
                <w:rFonts w:asciiTheme="majorHAnsi" w:eastAsia="Times New Roman" w:hAnsiTheme="majorHAnsi" w:cs="Times New Roman"/>
                <w:bCs/>
                <w:color w:val="FFFFFF" w:themeColor="background1"/>
                <w:sz w:val="20"/>
                <w:szCs w:val="20"/>
                <w:lang w:val="en-GB"/>
              </w:rPr>
            </w:pPr>
            <w:r w:rsidRPr="002720C2">
              <w:rPr>
                <w:rFonts w:asciiTheme="majorHAnsi" w:eastAsia="Times New Roman" w:hAnsiTheme="majorHAnsi" w:cs="Times New Roman"/>
                <w:bCs/>
                <w:color w:val="FFFFFF" w:themeColor="background1"/>
                <w:sz w:val="20"/>
                <w:szCs w:val="20"/>
                <w:lang w:val="en-GB"/>
              </w:rPr>
              <w:t xml:space="preserve">Report section </w:t>
            </w:r>
          </w:p>
        </w:tc>
        <w:tc>
          <w:tcPr>
            <w:tcW w:w="2977" w:type="dxa"/>
            <w:vAlign w:val="center"/>
          </w:tcPr>
          <w:p w:rsidR="00280482" w:rsidRPr="002720C2" w:rsidRDefault="00280482" w:rsidP="00497FDB">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Cs/>
                <w:color w:val="FFFFFF" w:themeColor="background1"/>
                <w:sz w:val="20"/>
                <w:szCs w:val="20"/>
                <w:lang w:val="en-GB"/>
              </w:rPr>
            </w:pPr>
            <w:r w:rsidRPr="002720C2">
              <w:rPr>
                <w:rFonts w:asciiTheme="majorHAnsi" w:eastAsia="Times New Roman" w:hAnsiTheme="majorHAnsi" w:cs="Times New Roman"/>
                <w:bCs/>
                <w:color w:val="FFFFFF" w:themeColor="background1"/>
                <w:sz w:val="20"/>
                <w:szCs w:val="20"/>
                <w:lang w:val="en-GB"/>
              </w:rPr>
              <w:t xml:space="preserve">Regulation No 223/2014 requirements </w:t>
            </w:r>
          </w:p>
        </w:tc>
        <w:tc>
          <w:tcPr>
            <w:tcW w:w="4665" w:type="dxa"/>
          </w:tcPr>
          <w:p w:rsidR="00280482" w:rsidRPr="002720C2" w:rsidRDefault="00280482" w:rsidP="00497FDB">
            <w:pP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0"/>
                <w:szCs w:val="20"/>
                <w:lang w:val="en-GB"/>
              </w:rPr>
            </w:pPr>
            <w:r w:rsidRPr="002720C2">
              <w:rPr>
                <w:rFonts w:asciiTheme="majorHAnsi" w:eastAsia="Times New Roman" w:hAnsiTheme="majorHAnsi" w:cs="Times New Roman"/>
                <w:bCs/>
                <w:color w:val="FFFFFF" w:themeColor="background1"/>
                <w:sz w:val="20"/>
                <w:szCs w:val="20"/>
                <w:lang w:val="en-GB"/>
              </w:rPr>
              <w:t>Evaluation question</w:t>
            </w:r>
          </w:p>
        </w:tc>
      </w:tr>
      <w:tr w:rsidR="00A00DA8" w:rsidRPr="002720C2" w:rsidTr="0049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696920" w:rsidRPr="002720C2" w:rsidRDefault="00696920" w:rsidP="00497FDB">
            <w:pPr>
              <w:rPr>
                <w:rFonts w:asciiTheme="majorHAnsi" w:hAnsiTheme="majorHAnsi"/>
                <w:sz w:val="20"/>
                <w:szCs w:val="20"/>
                <w:lang w:val="en-GB"/>
              </w:rPr>
            </w:pPr>
            <w:r w:rsidRPr="002720C2">
              <w:rPr>
                <w:rFonts w:asciiTheme="majorHAnsi" w:hAnsiTheme="majorHAnsi"/>
                <w:sz w:val="20"/>
                <w:szCs w:val="20"/>
                <w:lang w:val="en-GB"/>
              </w:rPr>
              <w:t xml:space="preserve">1. </w:t>
            </w:r>
            <w:r w:rsidRPr="002720C2">
              <w:rPr>
                <w:rFonts w:asciiTheme="majorHAnsi" w:eastAsia="Times New Roman" w:hAnsiTheme="majorHAnsi" w:cs="Times New Roman"/>
                <w:bCs/>
                <w:sz w:val="20"/>
                <w:szCs w:val="20"/>
                <w:lang w:val="en-GB"/>
              </w:rPr>
              <w:t xml:space="preserve">EVALUATION OF THE </w:t>
            </w:r>
            <w:r w:rsidRPr="002720C2">
              <w:rPr>
                <w:rFonts w:asciiTheme="majorHAnsi" w:eastAsia="Times New Roman" w:hAnsiTheme="majorHAnsi" w:cs="Times New Roman"/>
                <w:bCs/>
                <w:caps/>
                <w:sz w:val="20"/>
                <w:szCs w:val="20"/>
                <w:lang w:val="en-GB"/>
              </w:rPr>
              <w:t>intervention logic</w:t>
            </w:r>
            <w:r w:rsidRPr="002720C2">
              <w:rPr>
                <w:rFonts w:asciiTheme="majorHAnsi" w:eastAsia="Times New Roman" w:hAnsiTheme="majorHAnsi" w:cs="Times New Roman"/>
                <w:bCs/>
                <w:sz w:val="20"/>
                <w:szCs w:val="20"/>
                <w:lang w:val="en-GB"/>
              </w:rPr>
              <w:t xml:space="preserve"> OF THE OPERATIONAL PROGRAMME</w:t>
            </w:r>
          </w:p>
        </w:tc>
        <w:tc>
          <w:tcPr>
            <w:tcW w:w="2977" w:type="dxa"/>
          </w:tcPr>
          <w:p w:rsidR="00696920" w:rsidRPr="002720C2" w:rsidRDefault="00696920" w:rsidP="00696920">
            <w:pPr>
              <w:pStyle w:val="CM4"/>
              <w:numPr>
                <w:ilvl w:val="0"/>
                <w:numId w:val="23"/>
              </w:numPr>
              <w:spacing w:before="60" w:after="60" w:line="276" w:lineRule="auto"/>
              <w:ind w:left="300" w:hanging="3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EUAlbertina"/>
                <w:color w:val="000000"/>
                <w:sz w:val="20"/>
                <w:szCs w:val="20"/>
                <w:lang w:val="en-GB"/>
              </w:rPr>
            </w:pPr>
            <w:r w:rsidRPr="002720C2">
              <w:rPr>
                <w:rFonts w:asciiTheme="majorHAnsi" w:hAnsiTheme="majorHAnsi"/>
                <w:bCs/>
                <w:sz w:val="20"/>
                <w:szCs w:val="20"/>
                <w:lang w:val="en-GB"/>
              </w:rPr>
              <w:t>t</w:t>
            </w:r>
            <w:r w:rsidRPr="002720C2">
              <w:rPr>
                <w:rFonts w:asciiTheme="majorHAnsi" w:hAnsiTheme="majorHAnsi"/>
                <w:sz w:val="20"/>
                <w:szCs w:val="20"/>
                <w:lang w:val="en-GB"/>
              </w:rPr>
              <w:t>he contribution to the Union objective of at least 20 million fewer people living in poverty or at risk of poverty and social exclusion by 2020, having regard to the selected type of material deprivation to be addressed and taking into account national circumstances in terms of poverty and social exclusion and material deprivation</w:t>
            </w:r>
            <w:r w:rsidRPr="002720C2">
              <w:rPr>
                <w:rFonts w:asciiTheme="majorHAnsi" w:hAnsiTheme="majorHAnsi" w:cs="EUAlbertina"/>
                <w:color w:val="000000"/>
                <w:sz w:val="20"/>
                <w:szCs w:val="20"/>
                <w:lang w:val="en-GB"/>
              </w:rPr>
              <w:t>;</w:t>
            </w:r>
          </w:p>
          <w:p w:rsidR="00696920" w:rsidRPr="002720C2" w:rsidRDefault="000453ED" w:rsidP="00497FDB">
            <w:pPr>
              <w:pStyle w:val="CM4"/>
              <w:numPr>
                <w:ilvl w:val="0"/>
                <w:numId w:val="23"/>
              </w:numPr>
              <w:spacing w:before="60" w:after="60" w:line="276" w:lineRule="auto"/>
              <w:ind w:left="303"/>
              <w:jc w:val="both"/>
              <w:cnfStyle w:val="000000100000" w:firstRow="0" w:lastRow="0" w:firstColumn="0" w:lastColumn="0" w:oddVBand="0" w:evenVBand="0" w:oddHBand="1" w:evenHBand="0" w:firstRowFirstColumn="0" w:firstRowLastColumn="0" w:lastRowFirstColumn="0" w:lastRowLastColumn="0"/>
              <w:rPr>
                <w:rFonts w:asciiTheme="majorHAnsi" w:hAnsiTheme="majorHAnsi" w:cs="EUAlbertina"/>
                <w:color w:val="000000"/>
                <w:sz w:val="20"/>
                <w:szCs w:val="20"/>
                <w:lang w:val="en-GB"/>
              </w:rPr>
            </w:pPr>
            <w:r w:rsidRPr="002720C2">
              <w:rPr>
                <w:rFonts w:asciiTheme="majorHAnsi" w:hAnsiTheme="majorHAnsi"/>
                <w:sz w:val="20"/>
                <w:szCs w:val="20"/>
                <w:lang w:val="en-GB"/>
              </w:rPr>
              <w:t>coherence of the proposed operational programme and its relation with other relevant financial instruments</w:t>
            </w:r>
            <w:r w:rsidR="00696920" w:rsidRPr="002720C2">
              <w:rPr>
                <w:rFonts w:asciiTheme="majorHAnsi" w:hAnsiTheme="majorHAnsi" w:cs="EUAlbertina"/>
                <w:color w:val="000000"/>
                <w:sz w:val="20"/>
                <w:szCs w:val="20"/>
                <w:lang w:val="en-GB"/>
              </w:rPr>
              <w:t>;</w:t>
            </w:r>
          </w:p>
        </w:tc>
        <w:tc>
          <w:tcPr>
            <w:tcW w:w="4665" w:type="dxa"/>
          </w:tcPr>
          <w:p w:rsidR="00497FDB" w:rsidRPr="002720C2" w:rsidRDefault="00696920" w:rsidP="00497FDB">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sz w:val="20"/>
                <w:szCs w:val="20"/>
                <w:lang w:val="en-GB"/>
              </w:rPr>
            </w:pPr>
            <w:r w:rsidRPr="002720C2">
              <w:rPr>
                <w:rFonts w:asciiTheme="majorHAnsi" w:hAnsiTheme="majorHAnsi"/>
                <w:sz w:val="20"/>
                <w:szCs w:val="20"/>
                <w:lang w:val="en-GB"/>
              </w:rPr>
              <w:t xml:space="preserve">1. </w:t>
            </w:r>
            <w:r w:rsidR="00497FDB" w:rsidRPr="002720C2">
              <w:rPr>
                <w:rFonts w:asciiTheme="majorHAnsi" w:hAnsiTheme="majorHAnsi"/>
                <w:sz w:val="20"/>
                <w:szCs w:val="20"/>
                <w:lang w:val="en-GB"/>
              </w:rPr>
              <w:t xml:space="preserve">Is the situation described in the draft </w:t>
            </w:r>
            <w:r w:rsidR="00497FDB" w:rsidRPr="002720C2">
              <w:rPr>
                <w:rFonts w:asciiTheme="majorHAnsi" w:eastAsia="Times New Roman" w:hAnsiTheme="majorHAnsi"/>
                <w:bCs/>
                <w:sz w:val="20"/>
                <w:szCs w:val="20"/>
                <w:lang w:val="en-GB"/>
              </w:rPr>
              <w:t xml:space="preserve">operational programme with respect to the most deprived persons justifiable, clear and appropriate? How will the operational programme contribute to </w:t>
            </w:r>
            <w:r w:rsidR="00497FDB" w:rsidRPr="002720C2">
              <w:rPr>
                <w:rFonts w:asciiTheme="minorHAnsi" w:eastAsia="Times New Roman" w:hAnsiTheme="minorHAnsi"/>
                <w:sz w:val="20"/>
                <w:szCs w:val="20"/>
                <w:lang w:val="en-GB"/>
              </w:rPr>
              <w:t>the achievement of the Eur</w:t>
            </w:r>
            <w:r w:rsidR="009B6742">
              <w:rPr>
                <w:rFonts w:asciiTheme="minorHAnsi" w:eastAsia="Times New Roman" w:hAnsiTheme="minorHAnsi"/>
                <w:sz w:val="20"/>
                <w:szCs w:val="20"/>
                <w:lang w:val="en-GB"/>
              </w:rPr>
              <w:t>ope 2020 strategy’s objective to reduce</w:t>
            </w:r>
            <w:r w:rsidR="00497FDB" w:rsidRPr="002720C2">
              <w:rPr>
                <w:rFonts w:asciiTheme="minorHAnsi" w:eastAsia="Times New Roman" w:hAnsiTheme="minorHAnsi"/>
                <w:sz w:val="20"/>
                <w:szCs w:val="20"/>
                <w:lang w:val="en-GB"/>
              </w:rPr>
              <w:t xml:space="preserve"> the number of people at risk of poverty</w:t>
            </w:r>
            <w:r w:rsidR="002A1069" w:rsidRPr="002720C2">
              <w:rPr>
                <w:rFonts w:asciiTheme="minorHAnsi" w:eastAsia="Times New Roman" w:hAnsiTheme="minorHAnsi"/>
                <w:sz w:val="20"/>
                <w:szCs w:val="20"/>
                <w:lang w:val="en-GB"/>
              </w:rPr>
              <w:t xml:space="preserve"> and social exclusion?</w:t>
            </w:r>
          </w:p>
          <w:p w:rsidR="00696920" w:rsidRPr="002720C2" w:rsidRDefault="00696920" w:rsidP="00497FDB">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GB"/>
              </w:rPr>
            </w:pPr>
            <w:r w:rsidRPr="002720C2">
              <w:rPr>
                <w:rFonts w:asciiTheme="majorHAnsi" w:hAnsiTheme="majorHAnsi"/>
                <w:sz w:val="20"/>
                <w:szCs w:val="20"/>
                <w:lang w:val="en-GB"/>
              </w:rPr>
              <w:t xml:space="preserve">2. </w:t>
            </w:r>
            <w:r w:rsidR="00A82B9D" w:rsidRPr="002720C2">
              <w:rPr>
                <w:rFonts w:asciiTheme="majorHAnsi" w:eastAsia="Times New Roman" w:hAnsiTheme="majorHAnsi"/>
                <w:bCs/>
                <w:sz w:val="20"/>
                <w:szCs w:val="20"/>
                <w:lang w:val="en-GB"/>
              </w:rPr>
              <w:t>Is the rationale behind the draft operational programme clear and consistent? Are the types of material deprivation identified in the draft operational programme suitable</w:t>
            </w:r>
            <w:r w:rsidR="00A82B9D" w:rsidRPr="002720C2">
              <w:rPr>
                <w:rFonts w:asciiTheme="majorHAnsi" w:hAnsiTheme="majorHAnsi"/>
                <w:sz w:val="20"/>
                <w:szCs w:val="20"/>
                <w:lang w:val="en-GB"/>
              </w:rPr>
              <w:t>?</w:t>
            </w:r>
          </w:p>
          <w:p w:rsidR="00696920" w:rsidRPr="002720C2" w:rsidRDefault="00696920" w:rsidP="002B2434">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sz w:val="20"/>
                <w:szCs w:val="20"/>
                <w:lang w:val="en-GB" w:eastAsia="lt-LT"/>
              </w:rPr>
            </w:pPr>
            <w:r w:rsidRPr="002720C2">
              <w:rPr>
                <w:rFonts w:asciiTheme="majorHAnsi" w:hAnsiTheme="majorHAnsi"/>
                <w:sz w:val="20"/>
                <w:szCs w:val="20"/>
                <w:lang w:val="en-GB"/>
              </w:rPr>
              <w:t xml:space="preserve">3. </w:t>
            </w:r>
            <w:r w:rsidR="009A3528" w:rsidRPr="002720C2">
              <w:rPr>
                <w:rFonts w:asciiTheme="majorHAnsi" w:hAnsiTheme="majorHAnsi"/>
                <w:sz w:val="20"/>
                <w:szCs w:val="20"/>
                <w:lang w:val="en-GB"/>
              </w:rPr>
              <w:t>D</w:t>
            </w:r>
            <w:r w:rsidR="009A3528" w:rsidRPr="002720C2">
              <w:rPr>
                <w:rFonts w:asciiTheme="majorHAnsi" w:eastAsia="Times New Roman" w:hAnsiTheme="majorHAnsi"/>
                <w:bCs/>
                <w:sz w:val="20"/>
                <w:szCs w:val="20"/>
                <w:lang w:val="en-GB" w:eastAsia="lt-LT"/>
              </w:rPr>
              <w:t xml:space="preserve">oes the selected target </w:t>
            </w:r>
            <w:r w:rsidR="00F3554C" w:rsidRPr="002720C2">
              <w:rPr>
                <w:rFonts w:asciiTheme="majorHAnsi" w:eastAsia="Times New Roman" w:hAnsiTheme="majorHAnsi"/>
                <w:bCs/>
                <w:sz w:val="20"/>
                <w:szCs w:val="20"/>
                <w:lang w:val="en-GB" w:eastAsia="lt-LT"/>
              </w:rPr>
              <w:t xml:space="preserve">group </w:t>
            </w:r>
            <w:r w:rsidR="009A3528" w:rsidRPr="002720C2">
              <w:rPr>
                <w:rFonts w:asciiTheme="majorHAnsi" w:eastAsia="Times New Roman" w:hAnsiTheme="majorHAnsi"/>
                <w:bCs/>
                <w:sz w:val="20"/>
                <w:szCs w:val="20"/>
                <w:lang w:val="en-GB" w:eastAsia="lt-LT"/>
              </w:rPr>
              <w:t xml:space="preserve">comply with the Fund’s requirements for financing? Are the selected </w:t>
            </w:r>
            <w:r w:rsidR="001C5C3D" w:rsidRPr="002720C2">
              <w:rPr>
                <w:rFonts w:asciiTheme="majorHAnsi" w:eastAsia="Times New Roman" w:hAnsiTheme="majorHAnsi"/>
                <w:bCs/>
                <w:sz w:val="20"/>
                <w:szCs w:val="20"/>
                <w:lang w:val="en-GB" w:eastAsia="lt-LT"/>
              </w:rPr>
              <w:t>support</w:t>
            </w:r>
            <w:r w:rsidR="009A3528" w:rsidRPr="002720C2">
              <w:rPr>
                <w:rFonts w:asciiTheme="majorHAnsi" w:eastAsia="Times New Roman" w:hAnsiTheme="majorHAnsi"/>
                <w:bCs/>
                <w:sz w:val="20"/>
                <w:szCs w:val="20"/>
                <w:lang w:val="en-GB" w:eastAsia="lt-LT"/>
              </w:rPr>
              <w:t xml:space="preserve"> measures (food and/or basic </w:t>
            </w:r>
            <w:r w:rsidR="002B2434">
              <w:rPr>
                <w:rFonts w:asciiTheme="majorHAnsi" w:eastAsia="Times New Roman" w:hAnsiTheme="majorHAnsi"/>
                <w:bCs/>
                <w:sz w:val="20"/>
                <w:szCs w:val="20"/>
                <w:lang w:val="en-GB" w:eastAsia="lt-LT"/>
              </w:rPr>
              <w:t>material assistance</w:t>
            </w:r>
            <w:r w:rsidR="009A3528" w:rsidRPr="002720C2">
              <w:rPr>
                <w:rFonts w:asciiTheme="majorHAnsi" w:eastAsia="Times New Roman" w:hAnsiTheme="majorHAnsi"/>
                <w:bCs/>
                <w:sz w:val="20"/>
                <w:szCs w:val="20"/>
                <w:lang w:val="en-GB" w:eastAsia="lt-LT"/>
              </w:rPr>
              <w:t xml:space="preserve"> and/or accompanying measures) suitable for the specific target group (i.e. deprived homeless children, deprived adults, etc.)? Is it clear what the internal and external factors are and how will they determine the efficiency and achievement of the results of the planned assistance</w:t>
            </w:r>
            <w:r w:rsidR="00F71740" w:rsidRPr="002720C2">
              <w:rPr>
                <w:rFonts w:asciiTheme="majorHAnsi" w:eastAsia="Times New Roman" w:hAnsiTheme="majorHAnsi"/>
                <w:bCs/>
                <w:sz w:val="20"/>
                <w:szCs w:val="20"/>
                <w:lang w:val="en-GB" w:eastAsia="lt-LT"/>
              </w:rPr>
              <w:t>?</w:t>
            </w:r>
            <w:r w:rsidRPr="002720C2">
              <w:rPr>
                <w:rFonts w:asciiTheme="majorHAnsi" w:hAnsiTheme="majorHAnsi"/>
                <w:sz w:val="20"/>
                <w:szCs w:val="20"/>
                <w:lang w:val="en-GB"/>
              </w:rPr>
              <w:t xml:space="preserve"> </w:t>
            </w:r>
          </w:p>
        </w:tc>
      </w:tr>
      <w:tr w:rsidR="00A00DA8" w:rsidRPr="002720C2" w:rsidTr="00497F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696920" w:rsidRPr="002720C2" w:rsidRDefault="00696920" w:rsidP="007E0D49">
            <w:pPr>
              <w:rPr>
                <w:rFonts w:asciiTheme="majorHAnsi" w:hAnsiTheme="majorHAnsi"/>
                <w:sz w:val="20"/>
                <w:szCs w:val="20"/>
                <w:lang w:val="en-GB"/>
              </w:rPr>
            </w:pPr>
            <w:r w:rsidRPr="002720C2">
              <w:rPr>
                <w:rFonts w:asciiTheme="majorHAnsi" w:hAnsiTheme="majorHAnsi"/>
                <w:sz w:val="20"/>
                <w:szCs w:val="20"/>
                <w:lang w:val="en-GB"/>
              </w:rPr>
              <w:t xml:space="preserve">2. </w:t>
            </w:r>
            <w:r w:rsidR="007E0D49">
              <w:rPr>
                <w:rFonts w:asciiTheme="majorHAnsi" w:hAnsiTheme="majorHAnsi"/>
                <w:sz w:val="20"/>
                <w:szCs w:val="20"/>
                <w:lang w:val="en-GB"/>
              </w:rPr>
              <w:t xml:space="preserve"> RELEVANCE</w:t>
            </w:r>
            <w:r w:rsidR="00481F16" w:rsidRPr="002720C2">
              <w:rPr>
                <w:rFonts w:asciiTheme="majorHAnsi" w:hAnsiTheme="majorHAnsi"/>
                <w:sz w:val="20"/>
                <w:szCs w:val="20"/>
                <w:lang w:val="en-GB"/>
              </w:rPr>
              <w:t xml:space="preserve"> AND </w:t>
            </w:r>
            <w:r w:rsidR="007E0D49">
              <w:rPr>
                <w:rFonts w:asciiTheme="majorHAnsi" w:hAnsiTheme="majorHAnsi"/>
                <w:sz w:val="20"/>
                <w:szCs w:val="20"/>
                <w:lang w:val="en-GB"/>
              </w:rPr>
              <w:t>CONSISTENCY</w:t>
            </w:r>
            <w:r w:rsidR="00481F16" w:rsidRPr="002720C2">
              <w:rPr>
                <w:rFonts w:asciiTheme="majorHAnsi" w:hAnsiTheme="majorHAnsi"/>
                <w:sz w:val="20"/>
                <w:szCs w:val="20"/>
                <w:lang w:val="en-GB"/>
              </w:rPr>
              <w:t xml:space="preserve"> OF MONITORING </w:t>
            </w:r>
            <w:r w:rsidR="00481F16" w:rsidRPr="002720C2">
              <w:rPr>
                <w:rFonts w:asciiTheme="majorHAnsi" w:hAnsiTheme="majorHAnsi"/>
                <w:sz w:val="20"/>
                <w:szCs w:val="20"/>
                <w:lang w:val="en-GB"/>
              </w:rPr>
              <w:lastRenderedPageBreak/>
              <w:t xml:space="preserve">INDICATORS </w:t>
            </w:r>
          </w:p>
        </w:tc>
        <w:tc>
          <w:tcPr>
            <w:tcW w:w="2977" w:type="dxa"/>
          </w:tcPr>
          <w:p w:rsidR="00696920" w:rsidRPr="002720C2" w:rsidRDefault="00CA3B79" w:rsidP="00497FDB">
            <w:pPr>
              <w:pStyle w:val="CM4"/>
              <w:numPr>
                <w:ilvl w:val="0"/>
                <w:numId w:val="23"/>
              </w:numPr>
              <w:spacing w:before="60" w:after="60" w:line="276" w:lineRule="auto"/>
              <w:ind w:left="303"/>
              <w:jc w:val="both"/>
              <w:cnfStyle w:val="000000010000" w:firstRow="0" w:lastRow="0" w:firstColumn="0" w:lastColumn="0" w:oddVBand="0" w:evenVBand="0" w:oddHBand="0" w:evenHBand="1" w:firstRowFirstColumn="0" w:firstRowLastColumn="0" w:lastRowFirstColumn="0" w:lastRowLastColumn="0"/>
              <w:rPr>
                <w:rFonts w:asciiTheme="majorHAnsi" w:hAnsiTheme="majorHAnsi" w:cs="EUAlbertina"/>
                <w:color w:val="000000"/>
                <w:sz w:val="20"/>
                <w:szCs w:val="20"/>
                <w:lang w:val="en-GB"/>
              </w:rPr>
            </w:pPr>
            <w:r w:rsidRPr="002720C2">
              <w:rPr>
                <w:rFonts w:asciiTheme="majorHAnsi" w:hAnsiTheme="majorHAnsi"/>
                <w:sz w:val="20"/>
                <w:szCs w:val="20"/>
                <w:lang w:val="en-GB"/>
              </w:rPr>
              <w:lastRenderedPageBreak/>
              <w:t xml:space="preserve">the consistency of the allocation of budgetary resources with the </w:t>
            </w:r>
            <w:r w:rsidRPr="002720C2">
              <w:rPr>
                <w:rFonts w:asciiTheme="majorHAnsi" w:hAnsiTheme="majorHAnsi"/>
                <w:sz w:val="20"/>
                <w:szCs w:val="20"/>
                <w:lang w:val="en-GB"/>
              </w:rPr>
              <w:lastRenderedPageBreak/>
              <w:t>objectives of the operational programme</w:t>
            </w:r>
            <w:r w:rsidR="00696920" w:rsidRPr="002720C2">
              <w:rPr>
                <w:rFonts w:asciiTheme="majorHAnsi" w:hAnsiTheme="majorHAnsi" w:cs="EUAlbertina"/>
                <w:color w:val="000000"/>
                <w:sz w:val="20"/>
                <w:szCs w:val="20"/>
                <w:lang w:val="en-GB"/>
              </w:rPr>
              <w:t xml:space="preserve">; </w:t>
            </w:r>
          </w:p>
          <w:p w:rsidR="00696920" w:rsidRPr="002720C2" w:rsidRDefault="00CA3B79" w:rsidP="00497FDB">
            <w:pPr>
              <w:pStyle w:val="CM4"/>
              <w:numPr>
                <w:ilvl w:val="0"/>
                <w:numId w:val="23"/>
              </w:numPr>
              <w:spacing w:before="60" w:after="60" w:line="276" w:lineRule="auto"/>
              <w:ind w:left="303"/>
              <w:jc w:val="both"/>
              <w:cnfStyle w:val="000000010000" w:firstRow="0" w:lastRow="0" w:firstColumn="0" w:lastColumn="0" w:oddVBand="0" w:evenVBand="0" w:oddHBand="0" w:evenHBand="1" w:firstRowFirstColumn="0" w:firstRowLastColumn="0" w:lastRowFirstColumn="0" w:lastRowLastColumn="0"/>
              <w:rPr>
                <w:rFonts w:asciiTheme="majorHAnsi" w:hAnsiTheme="majorHAnsi" w:cs="EUAlbertina"/>
                <w:color w:val="000000"/>
                <w:sz w:val="20"/>
                <w:szCs w:val="20"/>
                <w:lang w:val="en-GB"/>
              </w:rPr>
            </w:pPr>
            <w:r w:rsidRPr="002720C2">
              <w:rPr>
                <w:rFonts w:asciiTheme="majorHAnsi" w:hAnsiTheme="majorHAnsi"/>
                <w:sz w:val="20"/>
                <w:szCs w:val="20"/>
                <w:lang w:val="en-GB"/>
              </w:rPr>
              <w:t>the contribution of the expected outputs to the results and thus to the objectives of the Fund</w:t>
            </w:r>
            <w:r w:rsidR="00696920" w:rsidRPr="002720C2">
              <w:rPr>
                <w:rFonts w:asciiTheme="majorHAnsi" w:hAnsiTheme="majorHAnsi" w:cs="EUAlbertina"/>
                <w:color w:val="000000"/>
                <w:sz w:val="20"/>
                <w:szCs w:val="20"/>
                <w:lang w:val="en-GB"/>
              </w:rPr>
              <w:t>;</w:t>
            </w:r>
          </w:p>
        </w:tc>
        <w:tc>
          <w:tcPr>
            <w:tcW w:w="4665" w:type="dxa"/>
          </w:tcPr>
          <w:p w:rsidR="00696920" w:rsidRPr="002720C2" w:rsidRDefault="00696920" w:rsidP="00497FDB">
            <w:pPr>
              <w:pStyle w:val="Default"/>
              <w:jc w:val="both"/>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en-GB"/>
              </w:rPr>
            </w:pPr>
            <w:r w:rsidRPr="002720C2">
              <w:rPr>
                <w:rFonts w:asciiTheme="majorHAnsi" w:hAnsiTheme="majorHAnsi"/>
                <w:sz w:val="20"/>
                <w:szCs w:val="20"/>
                <w:lang w:val="en-GB"/>
              </w:rPr>
              <w:lastRenderedPageBreak/>
              <w:t xml:space="preserve">4. </w:t>
            </w:r>
            <w:r w:rsidR="00EF1564" w:rsidRPr="002720C2">
              <w:rPr>
                <w:rFonts w:asciiTheme="majorHAnsi" w:eastAsia="Times New Roman" w:hAnsiTheme="majorHAnsi"/>
                <w:bCs/>
                <w:sz w:val="20"/>
                <w:szCs w:val="20"/>
                <w:lang w:val="en-GB"/>
              </w:rPr>
              <w:t>Are the</w:t>
            </w:r>
            <w:r w:rsidR="00B43FBD" w:rsidRPr="002720C2">
              <w:rPr>
                <w:rFonts w:asciiTheme="majorHAnsi" w:eastAsia="Times New Roman" w:hAnsiTheme="majorHAnsi"/>
                <w:bCs/>
                <w:sz w:val="20"/>
                <w:szCs w:val="20"/>
                <w:lang w:val="en-GB"/>
              </w:rPr>
              <w:t xml:space="preserve"> </w:t>
            </w:r>
            <w:r w:rsidR="00EF1564" w:rsidRPr="002720C2">
              <w:rPr>
                <w:rFonts w:asciiTheme="majorHAnsi" w:eastAsia="Times New Roman" w:hAnsiTheme="majorHAnsi"/>
                <w:bCs/>
                <w:sz w:val="20"/>
                <w:szCs w:val="20"/>
                <w:lang w:val="en-GB"/>
              </w:rPr>
              <w:t xml:space="preserve">planned </w:t>
            </w:r>
            <w:r w:rsidR="00B43FBD" w:rsidRPr="002720C2">
              <w:rPr>
                <w:rFonts w:asciiTheme="majorHAnsi" w:eastAsia="Times New Roman" w:hAnsiTheme="majorHAnsi"/>
                <w:bCs/>
                <w:sz w:val="20"/>
                <w:szCs w:val="20"/>
                <w:lang w:val="en-GB"/>
              </w:rPr>
              <w:t xml:space="preserve">financial resources sufficient to achieve the objectives of the </w:t>
            </w:r>
            <w:r w:rsidR="00EF1564" w:rsidRPr="002720C2">
              <w:rPr>
                <w:rFonts w:asciiTheme="majorHAnsi" w:eastAsia="Times New Roman" w:hAnsiTheme="majorHAnsi"/>
                <w:bCs/>
                <w:sz w:val="20"/>
                <w:szCs w:val="20"/>
                <w:lang w:val="en-GB"/>
              </w:rPr>
              <w:t>operational programme? Have</w:t>
            </w:r>
            <w:r w:rsidR="00B43FBD" w:rsidRPr="002720C2">
              <w:rPr>
                <w:rFonts w:asciiTheme="majorHAnsi" w:eastAsia="Times New Roman" w:hAnsiTheme="majorHAnsi"/>
                <w:bCs/>
                <w:sz w:val="20"/>
                <w:szCs w:val="20"/>
                <w:lang w:val="en-GB"/>
              </w:rPr>
              <w:t xml:space="preserve"> the most effective form</w:t>
            </w:r>
            <w:r w:rsidR="00EF1564" w:rsidRPr="002720C2">
              <w:rPr>
                <w:rFonts w:asciiTheme="majorHAnsi" w:eastAsia="Times New Roman" w:hAnsiTheme="majorHAnsi"/>
                <w:bCs/>
                <w:sz w:val="20"/>
                <w:szCs w:val="20"/>
                <w:lang w:val="en-GB"/>
              </w:rPr>
              <w:t>s</w:t>
            </w:r>
            <w:r w:rsidR="00B43FBD" w:rsidRPr="002720C2">
              <w:rPr>
                <w:rFonts w:asciiTheme="majorHAnsi" w:eastAsia="Times New Roman" w:hAnsiTheme="majorHAnsi"/>
                <w:bCs/>
                <w:sz w:val="20"/>
                <w:szCs w:val="20"/>
                <w:lang w:val="en-GB"/>
              </w:rPr>
              <w:t xml:space="preserve"> of distribution of assistance</w:t>
            </w:r>
            <w:r w:rsidR="00EF1564" w:rsidRPr="002720C2">
              <w:rPr>
                <w:rFonts w:asciiTheme="majorHAnsi" w:eastAsia="Times New Roman" w:hAnsiTheme="majorHAnsi"/>
                <w:bCs/>
                <w:sz w:val="20"/>
                <w:szCs w:val="20"/>
                <w:lang w:val="en-GB"/>
              </w:rPr>
              <w:t xml:space="preserve"> been selected</w:t>
            </w:r>
            <w:r w:rsidRPr="002720C2">
              <w:rPr>
                <w:rFonts w:asciiTheme="majorHAnsi" w:hAnsiTheme="majorHAnsi"/>
                <w:sz w:val="20"/>
                <w:szCs w:val="20"/>
                <w:lang w:val="en-GB"/>
              </w:rPr>
              <w:t xml:space="preserve">? </w:t>
            </w:r>
          </w:p>
          <w:p w:rsidR="00F02ED6" w:rsidRPr="002720C2" w:rsidRDefault="00696920" w:rsidP="00497FDB">
            <w:pPr>
              <w:pStyle w:val="Default"/>
              <w:jc w:val="both"/>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en-GB"/>
              </w:rPr>
            </w:pPr>
            <w:r w:rsidRPr="002720C2">
              <w:rPr>
                <w:rFonts w:asciiTheme="majorHAnsi" w:hAnsiTheme="majorHAnsi"/>
                <w:sz w:val="20"/>
                <w:szCs w:val="20"/>
                <w:lang w:val="en-GB"/>
              </w:rPr>
              <w:lastRenderedPageBreak/>
              <w:t xml:space="preserve">5. </w:t>
            </w:r>
            <w:r w:rsidR="00F02ED6" w:rsidRPr="002720C2">
              <w:rPr>
                <w:rFonts w:asciiTheme="majorHAnsi" w:hAnsiTheme="majorHAnsi"/>
                <w:sz w:val="20"/>
                <w:szCs w:val="20"/>
                <w:lang w:val="en-GB"/>
              </w:rPr>
              <w:t>Are the i</w:t>
            </w:r>
            <w:r w:rsidR="00F02ED6" w:rsidRPr="002720C2">
              <w:rPr>
                <w:rFonts w:asciiTheme="majorHAnsi" w:eastAsia="Times New Roman" w:hAnsiTheme="majorHAnsi"/>
                <w:bCs/>
                <w:sz w:val="20"/>
                <w:szCs w:val="20"/>
                <w:lang w:val="en-GB" w:eastAsia="lt-LT"/>
              </w:rPr>
              <w:t>ndicators for monitoring and evaluation clearly defined in the draft operational programme? Are the objectives pursued realistic given the planned interventions and planned financing?</w:t>
            </w:r>
            <w:r w:rsidR="00F02ED6" w:rsidRPr="002720C2">
              <w:rPr>
                <w:rFonts w:asciiTheme="majorHAnsi" w:hAnsiTheme="majorHAnsi"/>
                <w:sz w:val="20"/>
                <w:szCs w:val="20"/>
                <w:lang w:val="en-GB"/>
              </w:rPr>
              <w:t xml:space="preserve">  </w:t>
            </w:r>
          </w:p>
          <w:p w:rsidR="00696920" w:rsidRPr="002720C2" w:rsidRDefault="00696920" w:rsidP="00497FDB">
            <w:pPr>
              <w:pStyle w:val="Default"/>
              <w:jc w:val="both"/>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en-GB"/>
              </w:rPr>
            </w:pPr>
            <w:r w:rsidRPr="002720C2">
              <w:rPr>
                <w:rFonts w:asciiTheme="majorHAnsi" w:hAnsiTheme="majorHAnsi"/>
                <w:sz w:val="20"/>
                <w:szCs w:val="20"/>
                <w:lang w:val="en-GB"/>
              </w:rPr>
              <w:t xml:space="preserve"> </w:t>
            </w:r>
          </w:p>
        </w:tc>
      </w:tr>
      <w:tr w:rsidR="00A00DA8" w:rsidRPr="002720C2" w:rsidTr="0049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696920" w:rsidRPr="002720C2" w:rsidRDefault="00696920" w:rsidP="00A00DA8">
            <w:pPr>
              <w:rPr>
                <w:rFonts w:asciiTheme="majorHAnsi" w:hAnsiTheme="majorHAnsi"/>
                <w:sz w:val="20"/>
                <w:szCs w:val="20"/>
                <w:lang w:val="en-GB"/>
              </w:rPr>
            </w:pPr>
            <w:r w:rsidRPr="002720C2">
              <w:rPr>
                <w:rFonts w:asciiTheme="majorHAnsi" w:hAnsiTheme="majorHAnsi"/>
                <w:sz w:val="20"/>
                <w:szCs w:val="20"/>
                <w:lang w:val="en-GB"/>
              </w:rPr>
              <w:lastRenderedPageBreak/>
              <w:t xml:space="preserve">3. </w:t>
            </w:r>
            <w:r w:rsidR="00A00DA8" w:rsidRPr="002720C2">
              <w:rPr>
                <w:rFonts w:asciiTheme="majorHAnsi" w:hAnsiTheme="majorHAnsi"/>
                <w:sz w:val="20"/>
                <w:szCs w:val="20"/>
                <w:lang w:val="en-GB"/>
              </w:rPr>
              <w:t xml:space="preserve">OPERATIONAL PROGRAMME IMPLEMENTATION SYSTEM </w:t>
            </w:r>
          </w:p>
        </w:tc>
        <w:tc>
          <w:tcPr>
            <w:tcW w:w="2977" w:type="dxa"/>
          </w:tcPr>
          <w:p w:rsidR="00696920" w:rsidRPr="002720C2" w:rsidRDefault="004A504F" w:rsidP="00497FDB">
            <w:pPr>
              <w:pStyle w:val="ListParagraph"/>
              <w:numPr>
                <w:ilvl w:val="0"/>
                <w:numId w:val="23"/>
              </w:numPr>
              <w:spacing w:line="240" w:lineRule="auto"/>
              <w:ind w:left="303"/>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GB"/>
              </w:rPr>
            </w:pPr>
            <w:r w:rsidRPr="002720C2">
              <w:rPr>
                <w:rFonts w:asciiTheme="majorHAnsi" w:hAnsiTheme="majorHAnsi"/>
                <w:sz w:val="20"/>
                <w:szCs w:val="20"/>
                <w:lang w:val="en-GB"/>
              </w:rPr>
              <w:t>the suitability of the procedures for monitoring the operational programme and for collecting the data necessary to carry out evaluations</w:t>
            </w:r>
          </w:p>
        </w:tc>
        <w:tc>
          <w:tcPr>
            <w:tcW w:w="4665" w:type="dxa"/>
          </w:tcPr>
          <w:p w:rsidR="00596277" w:rsidRPr="002720C2" w:rsidRDefault="00696920" w:rsidP="00497FDB">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sz w:val="20"/>
                <w:szCs w:val="20"/>
                <w:lang w:val="en-GB"/>
              </w:rPr>
            </w:pPr>
            <w:r w:rsidRPr="002720C2">
              <w:rPr>
                <w:rFonts w:asciiTheme="majorHAnsi" w:hAnsiTheme="majorHAnsi"/>
                <w:sz w:val="20"/>
                <w:szCs w:val="20"/>
                <w:lang w:val="en-GB"/>
              </w:rPr>
              <w:t xml:space="preserve">6. </w:t>
            </w:r>
            <w:r w:rsidR="00596277" w:rsidRPr="002720C2">
              <w:rPr>
                <w:rFonts w:asciiTheme="majorHAnsi" w:eastAsia="Times New Roman" w:hAnsiTheme="majorHAnsi"/>
                <w:bCs/>
                <w:sz w:val="20"/>
                <w:szCs w:val="20"/>
                <w:lang w:val="en-GB"/>
              </w:rPr>
              <w:t xml:space="preserve">Are the implementation </w:t>
            </w:r>
            <w:r w:rsidR="00C257D8" w:rsidRPr="002720C2">
              <w:rPr>
                <w:rFonts w:asciiTheme="majorHAnsi" w:eastAsia="Times New Roman" w:hAnsiTheme="majorHAnsi"/>
                <w:bCs/>
                <w:sz w:val="20"/>
                <w:szCs w:val="20"/>
                <w:lang w:val="en-GB"/>
              </w:rPr>
              <w:t>system</w:t>
            </w:r>
            <w:r w:rsidR="00596277" w:rsidRPr="002720C2">
              <w:rPr>
                <w:rFonts w:asciiTheme="majorHAnsi" w:eastAsia="Times New Roman" w:hAnsiTheme="majorHAnsi"/>
                <w:bCs/>
                <w:sz w:val="20"/>
                <w:szCs w:val="20"/>
                <w:lang w:val="en-GB"/>
              </w:rPr>
              <w:t xml:space="preserve"> and procedures of the operational programme adequate to ensure effective implementation of the operational programme? Are human resources and administrative capacities of both the </w:t>
            </w:r>
            <w:r w:rsidR="004B7104" w:rsidRPr="002720C2">
              <w:rPr>
                <w:rFonts w:asciiTheme="majorHAnsi" w:eastAsia="Times New Roman" w:hAnsiTheme="majorHAnsi"/>
                <w:bCs/>
                <w:sz w:val="20"/>
                <w:szCs w:val="20"/>
                <w:lang w:val="en-GB"/>
              </w:rPr>
              <w:t xml:space="preserve">institutions </w:t>
            </w:r>
            <w:r w:rsidR="00596277" w:rsidRPr="002720C2">
              <w:rPr>
                <w:rFonts w:asciiTheme="majorHAnsi" w:eastAsia="Times New Roman" w:hAnsiTheme="majorHAnsi"/>
                <w:bCs/>
                <w:sz w:val="20"/>
                <w:szCs w:val="20"/>
                <w:lang w:val="en-GB"/>
              </w:rPr>
              <w:t xml:space="preserve">and beneficiaries sufficient (particularly with regard to the target group)? Is the planned use of technical assistance adequate? </w:t>
            </w:r>
          </w:p>
          <w:p w:rsidR="00696920" w:rsidRPr="002720C2" w:rsidRDefault="00696920" w:rsidP="00497FDB">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sz w:val="20"/>
                <w:szCs w:val="20"/>
                <w:lang w:val="en-GB" w:eastAsia="lt-LT"/>
              </w:rPr>
            </w:pPr>
            <w:r w:rsidRPr="002720C2">
              <w:rPr>
                <w:rFonts w:asciiTheme="majorHAnsi" w:hAnsiTheme="majorHAnsi"/>
                <w:sz w:val="20"/>
                <w:szCs w:val="20"/>
                <w:lang w:val="en-GB"/>
              </w:rPr>
              <w:t xml:space="preserve">7. </w:t>
            </w:r>
            <w:r w:rsidR="00262417" w:rsidRPr="002720C2">
              <w:rPr>
                <w:rFonts w:asciiTheme="majorHAnsi" w:eastAsia="Times New Roman" w:hAnsiTheme="majorHAnsi"/>
                <w:bCs/>
                <w:sz w:val="20"/>
                <w:szCs w:val="20"/>
                <w:lang w:val="en-GB" w:eastAsia="lt-LT"/>
              </w:rPr>
              <w:t xml:space="preserve">What is the administrative burden for applicants submitting an application for assistance? </w:t>
            </w:r>
            <w:r w:rsidR="00621FA7" w:rsidRPr="002720C2">
              <w:rPr>
                <w:rFonts w:asciiTheme="majorHAnsi" w:eastAsia="Times New Roman" w:hAnsiTheme="majorHAnsi"/>
                <w:bCs/>
                <w:sz w:val="20"/>
                <w:szCs w:val="20"/>
                <w:lang w:val="en-GB" w:eastAsia="lt-LT"/>
              </w:rPr>
              <w:t>How can</w:t>
            </w:r>
            <w:r w:rsidR="00262417" w:rsidRPr="002720C2">
              <w:rPr>
                <w:rFonts w:asciiTheme="majorHAnsi" w:eastAsia="Times New Roman" w:hAnsiTheme="majorHAnsi"/>
                <w:bCs/>
                <w:sz w:val="20"/>
                <w:szCs w:val="20"/>
                <w:lang w:val="en-GB" w:eastAsia="lt-LT"/>
              </w:rPr>
              <w:t xml:space="preserve"> the administrative burden </w:t>
            </w:r>
            <w:r w:rsidR="00621FA7" w:rsidRPr="002720C2">
              <w:rPr>
                <w:rFonts w:asciiTheme="majorHAnsi" w:eastAsia="Times New Roman" w:hAnsiTheme="majorHAnsi"/>
                <w:bCs/>
                <w:sz w:val="20"/>
                <w:szCs w:val="20"/>
                <w:lang w:val="en-GB" w:eastAsia="lt-LT"/>
              </w:rPr>
              <w:t>for</w:t>
            </w:r>
            <w:r w:rsidR="00262417" w:rsidRPr="002720C2">
              <w:rPr>
                <w:rFonts w:asciiTheme="majorHAnsi" w:eastAsia="Times New Roman" w:hAnsiTheme="majorHAnsi"/>
                <w:bCs/>
                <w:sz w:val="20"/>
                <w:szCs w:val="20"/>
                <w:lang w:val="en-GB" w:eastAsia="lt-LT"/>
              </w:rPr>
              <w:t xml:space="preserve"> applicants and </w:t>
            </w:r>
            <w:r w:rsidR="00621FA7" w:rsidRPr="002720C2">
              <w:rPr>
                <w:rFonts w:asciiTheme="majorHAnsi" w:eastAsia="Times New Roman" w:hAnsiTheme="majorHAnsi"/>
                <w:bCs/>
                <w:sz w:val="20"/>
                <w:szCs w:val="20"/>
                <w:lang w:val="en-GB" w:eastAsia="lt-LT"/>
              </w:rPr>
              <w:t xml:space="preserve">beneficiaries be </w:t>
            </w:r>
            <w:r w:rsidR="00262417" w:rsidRPr="002720C2">
              <w:rPr>
                <w:rFonts w:asciiTheme="majorHAnsi" w:eastAsia="Times New Roman" w:hAnsiTheme="majorHAnsi"/>
                <w:bCs/>
                <w:sz w:val="20"/>
                <w:szCs w:val="20"/>
                <w:lang w:val="en-GB" w:eastAsia="lt-LT"/>
              </w:rPr>
              <w:t>reduced in the future (if necessary)</w:t>
            </w:r>
            <w:r w:rsidRPr="002720C2">
              <w:rPr>
                <w:rFonts w:asciiTheme="majorHAnsi" w:hAnsiTheme="majorHAnsi"/>
                <w:sz w:val="20"/>
                <w:szCs w:val="20"/>
                <w:lang w:val="en-GB"/>
              </w:rPr>
              <w:t xml:space="preserve">? </w:t>
            </w:r>
          </w:p>
        </w:tc>
      </w:tr>
      <w:tr w:rsidR="00A00DA8" w:rsidRPr="002720C2" w:rsidTr="00497F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696920" w:rsidRPr="002720C2" w:rsidRDefault="00696920" w:rsidP="00497FDB">
            <w:pPr>
              <w:rPr>
                <w:rFonts w:asciiTheme="majorHAnsi" w:hAnsiTheme="majorHAnsi"/>
                <w:sz w:val="20"/>
                <w:szCs w:val="20"/>
                <w:lang w:val="en-GB"/>
              </w:rPr>
            </w:pPr>
            <w:r w:rsidRPr="002720C2">
              <w:rPr>
                <w:rFonts w:asciiTheme="majorHAnsi" w:hAnsiTheme="majorHAnsi"/>
                <w:sz w:val="20"/>
                <w:szCs w:val="20"/>
                <w:lang w:val="en-GB"/>
              </w:rPr>
              <w:t xml:space="preserve">4. </w:t>
            </w:r>
            <w:r w:rsidR="00497FDB" w:rsidRPr="002720C2">
              <w:rPr>
                <w:rFonts w:asciiTheme="majorHAnsi" w:hAnsiTheme="majorHAnsi"/>
                <w:sz w:val="20"/>
                <w:szCs w:val="20"/>
                <w:lang w:val="en-GB"/>
              </w:rPr>
              <w:t>IMPLEMENTATION OF THE PARTNERSHIP PRINCIPLE</w:t>
            </w:r>
          </w:p>
        </w:tc>
        <w:tc>
          <w:tcPr>
            <w:tcW w:w="2977" w:type="dxa"/>
          </w:tcPr>
          <w:p w:rsidR="00696920" w:rsidRPr="002720C2" w:rsidRDefault="004A504F" w:rsidP="00497FDB">
            <w:pPr>
              <w:pStyle w:val="CM4"/>
              <w:numPr>
                <w:ilvl w:val="0"/>
                <w:numId w:val="23"/>
              </w:numPr>
              <w:spacing w:before="60" w:after="60" w:line="276" w:lineRule="auto"/>
              <w:ind w:left="303"/>
              <w:jc w:val="both"/>
              <w:cnfStyle w:val="000000010000" w:firstRow="0" w:lastRow="0" w:firstColumn="0" w:lastColumn="0" w:oddVBand="0" w:evenVBand="0" w:oddHBand="0" w:evenHBand="1" w:firstRowFirstColumn="0" w:firstRowLastColumn="0" w:lastRowFirstColumn="0" w:lastRowLastColumn="0"/>
              <w:rPr>
                <w:rFonts w:asciiTheme="majorHAnsi" w:hAnsiTheme="majorHAnsi" w:cs="EUAlbertina"/>
                <w:color w:val="000000"/>
                <w:sz w:val="20"/>
                <w:szCs w:val="20"/>
                <w:lang w:val="en-GB"/>
              </w:rPr>
            </w:pPr>
            <w:r w:rsidRPr="002720C2">
              <w:rPr>
                <w:rFonts w:asciiTheme="majorHAnsi" w:hAnsiTheme="majorHAnsi"/>
                <w:sz w:val="20"/>
                <w:szCs w:val="20"/>
                <w:lang w:val="en-GB"/>
              </w:rPr>
              <w:t>the involvement of relevant stakeholders</w:t>
            </w:r>
            <w:r w:rsidR="00696920" w:rsidRPr="002720C2">
              <w:rPr>
                <w:rFonts w:asciiTheme="majorHAnsi" w:hAnsiTheme="majorHAnsi" w:cs="EUAlbertina"/>
                <w:color w:val="000000"/>
                <w:sz w:val="20"/>
                <w:szCs w:val="20"/>
                <w:lang w:val="en-GB"/>
              </w:rPr>
              <w:t xml:space="preserve">; </w:t>
            </w:r>
          </w:p>
        </w:tc>
        <w:tc>
          <w:tcPr>
            <w:tcW w:w="4665" w:type="dxa"/>
          </w:tcPr>
          <w:p w:rsidR="00696920" w:rsidRPr="002720C2" w:rsidRDefault="00E9476C" w:rsidP="00E9476C">
            <w:pPr>
              <w:spacing w:line="24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en-GB"/>
              </w:rPr>
            </w:pPr>
            <w:r w:rsidRPr="002720C2">
              <w:rPr>
                <w:rFonts w:asciiTheme="majorHAnsi" w:hAnsiTheme="majorHAnsi"/>
                <w:sz w:val="20"/>
                <w:szCs w:val="20"/>
                <w:lang w:val="en-GB"/>
              </w:rPr>
              <w:t xml:space="preserve">8. </w:t>
            </w:r>
            <w:r w:rsidRPr="002720C2">
              <w:rPr>
                <w:rFonts w:asciiTheme="majorHAnsi" w:eastAsia="Times New Roman" w:hAnsiTheme="majorHAnsi" w:cs="Times New Roman"/>
                <w:bCs/>
                <w:sz w:val="20"/>
                <w:szCs w:val="20"/>
                <w:lang w:val="en-GB"/>
              </w:rPr>
              <w:t xml:space="preserve">Was the application of the partnership principle ensured during the preparation of the draft </w:t>
            </w:r>
            <w:r w:rsidRPr="002720C2">
              <w:rPr>
                <w:rFonts w:asciiTheme="majorHAnsi" w:eastAsia="Times New Roman" w:hAnsiTheme="majorHAnsi"/>
                <w:bCs/>
                <w:sz w:val="20"/>
                <w:szCs w:val="20"/>
                <w:lang w:val="en-GB"/>
              </w:rPr>
              <w:t>operational programme</w:t>
            </w:r>
            <w:r w:rsidRPr="002720C2">
              <w:rPr>
                <w:rFonts w:asciiTheme="majorHAnsi" w:eastAsia="Times New Roman" w:hAnsiTheme="majorHAnsi" w:cs="Times New Roman"/>
                <w:bCs/>
                <w:sz w:val="20"/>
                <w:szCs w:val="20"/>
                <w:lang w:val="en-GB"/>
              </w:rPr>
              <w:t xml:space="preserve">? Is the inclusion of socio-economic partners in the preparation of the </w:t>
            </w:r>
            <w:r w:rsidRPr="002720C2">
              <w:rPr>
                <w:rFonts w:asciiTheme="majorHAnsi" w:eastAsia="Times New Roman" w:hAnsiTheme="majorHAnsi"/>
                <w:bCs/>
                <w:sz w:val="20"/>
                <w:szCs w:val="20"/>
                <w:lang w:val="en-GB"/>
              </w:rPr>
              <w:t>operational programme</w:t>
            </w:r>
            <w:r w:rsidRPr="002720C2">
              <w:rPr>
                <w:rFonts w:asciiTheme="majorHAnsi" w:eastAsia="Times New Roman" w:hAnsiTheme="majorHAnsi" w:cs="Times New Roman"/>
                <w:bCs/>
                <w:sz w:val="20"/>
                <w:szCs w:val="20"/>
                <w:lang w:val="en-GB"/>
              </w:rPr>
              <w:t xml:space="preserve"> sufficient</w:t>
            </w:r>
            <w:r w:rsidRPr="002720C2">
              <w:rPr>
                <w:rFonts w:asciiTheme="majorHAnsi" w:hAnsiTheme="majorHAnsi"/>
                <w:sz w:val="20"/>
                <w:szCs w:val="20"/>
                <w:lang w:val="en-GB"/>
              </w:rPr>
              <w:t>?</w:t>
            </w:r>
          </w:p>
        </w:tc>
      </w:tr>
      <w:tr w:rsidR="00A00DA8" w:rsidRPr="002720C2" w:rsidTr="0049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696920" w:rsidRPr="002720C2" w:rsidRDefault="00696920" w:rsidP="00911A78">
            <w:pPr>
              <w:rPr>
                <w:rFonts w:asciiTheme="majorHAnsi" w:hAnsiTheme="majorHAnsi"/>
                <w:sz w:val="20"/>
                <w:szCs w:val="20"/>
                <w:lang w:val="en-GB"/>
              </w:rPr>
            </w:pPr>
            <w:r w:rsidRPr="002720C2">
              <w:rPr>
                <w:rFonts w:asciiTheme="majorHAnsi" w:hAnsiTheme="majorHAnsi"/>
                <w:sz w:val="20"/>
                <w:szCs w:val="20"/>
                <w:lang w:val="en-GB"/>
              </w:rPr>
              <w:t>P</w:t>
            </w:r>
            <w:r w:rsidR="00497FDB" w:rsidRPr="002720C2">
              <w:rPr>
                <w:rFonts w:asciiTheme="majorHAnsi" w:hAnsiTheme="majorHAnsi"/>
                <w:sz w:val="20"/>
                <w:szCs w:val="20"/>
                <w:lang w:val="en-GB"/>
              </w:rPr>
              <w:t xml:space="preserve">ROPOSALS </w:t>
            </w:r>
            <w:r w:rsidR="00911A78">
              <w:rPr>
                <w:rFonts w:asciiTheme="majorHAnsi" w:hAnsiTheme="majorHAnsi"/>
                <w:sz w:val="20"/>
                <w:szCs w:val="20"/>
                <w:lang w:val="en-GB"/>
              </w:rPr>
              <w:t xml:space="preserve">FOR </w:t>
            </w:r>
            <w:r w:rsidR="00497FDB" w:rsidRPr="002720C2">
              <w:rPr>
                <w:rFonts w:asciiTheme="majorHAnsi" w:hAnsiTheme="majorHAnsi"/>
                <w:sz w:val="20"/>
                <w:szCs w:val="20"/>
                <w:lang w:val="en-GB"/>
              </w:rPr>
              <w:t>IMPROVEMENT OF THE OPERATIONAL PROGRAMME</w:t>
            </w:r>
          </w:p>
        </w:tc>
        <w:tc>
          <w:tcPr>
            <w:tcW w:w="2977" w:type="dxa"/>
          </w:tcPr>
          <w:p w:rsidR="00696920" w:rsidRPr="002720C2" w:rsidRDefault="00696920" w:rsidP="00497FDB">
            <w:pPr>
              <w:pStyle w:val="ListParagraph"/>
              <w:ind w:left="303"/>
              <w:cnfStyle w:val="000000100000" w:firstRow="0" w:lastRow="0" w:firstColumn="0" w:lastColumn="0" w:oddVBand="0" w:evenVBand="0" w:oddHBand="1" w:evenHBand="0" w:firstRowFirstColumn="0" w:firstRowLastColumn="0" w:lastRowFirstColumn="0" w:lastRowLastColumn="0"/>
              <w:rPr>
                <w:rFonts w:asciiTheme="majorHAnsi" w:hAnsiTheme="majorHAnsi" w:cs="EUAlbertina"/>
                <w:color w:val="000000"/>
                <w:sz w:val="20"/>
                <w:szCs w:val="20"/>
                <w:lang w:val="en-GB"/>
              </w:rPr>
            </w:pPr>
          </w:p>
        </w:tc>
        <w:tc>
          <w:tcPr>
            <w:tcW w:w="4665" w:type="dxa"/>
          </w:tcPr>
          <w:p w:rsidR="00F16288" w:rsidRPr="002720C2" w:rsidRDefault="00696920" w:rsidP="00F16288">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GB"/>
              </w:rPr>
            </w:pPr>
            <w:r w:rsidRPr="002720C2">
              <w:rPr>
                <w:rFonts w:asciiTheme="majorHAnsi" w:hAnsiTheme="majorHAnsi"/>
                <w:sz w:val="20"/>
                <w:szCs w:val="20"/>
                <w:lang w:val="en-GB"/>
              </w:rPr>
              <w:t xml:space="preserve">9. </w:t>
            </w:r>
            <w:r w:rsidR="00F16288" w:rsidRPr="002720C2">
              <w:rPr>
                <w:rFonts w:asciiTheme="majorHAnsi" w:eastAsia="Times New Roman" w:hAnsiTheme="majorHAnsi" w:cs="Times New Roman"/>
                <w:bCs/>
                <w:sz w:val="20"/>
                <w:szCs w:val="20"/>
                <w:lang w:val="en-GB"/>
              </w:rPr>
              <w:t xml:space="preserve">How could the content of the draft </w:t>
            </w:r>
            <w:r w:rsidR="00F16288" w:rsidRPr="002720C2">
              <w:rPr>
                <w:rFonts w:asciiTheme="majorHAnsi" w:eastAsia="Times New Roman" w:hAnsiTheme="majorHAnsi"/>
                <w:bCs/>
                <w:sz w:val="20"/>
                <w:szCs w:val="20"/>
                <w:lang w:val="en-GB"/>
              </w:rPr>
              <w:t>operational programme</w:t>
            </w:r>
            <w:r w:rsidR="00F16288" w:rsidRPr="002720C2">
              <w:rPr>
                <w:rFonts w:asciiTheme="majorHAnsi" w:eastAsia="Times New Roman" w:hAnsiTheme="majorHAnsi" w:cs="Times New Roman"/>
                <w:bCs/>
                <w:sz w:val="20"/>
                <w:szCs w:val="20"/>
                <w:lang w:val="en-GB"/>
              </w:rPr>
              <w:t xml:space="preserve"> be improved and what </w:t>
            </w:r>
            <w:r w:rsidR="00F16288" w:rsidRPr="002720C2">
              <w:rPr>
                <w:rFonts w:asciiTheme="majorHAnsi" w:eastAsia="Times New Roman" w:hAnsiTheme="majorHAnsi"/>
                <w:bCs/>
                <w:sz w:val="20"/>
                <w:szCs w:val="20"/>
                <w:lang w:val="en-GB"/>
              </w:rPr>
              <w:t>accompanying</w:t>
            </w:r>
            <w:r w:rsidR="00F16288" w:rsidRPr="002720C2">
              <w:rPr>
                <w:rFonts w:asciiTheme="majorHAnsi" w:eastAsia="Times New Roman" w:hAnsiTheme="majorHAnsi" w:cs="Times New Roman"/>
                <w:bCs/>
                <w:sz w:val="20"/>
                <w:szCs w:val="20"/>
                <w:lang w:val="en-GB"/>
              </w:rPr>
              <w:t xml:space="preserve"> measures must be taken having regard to the flaws of the draft </w:t>
            </w:r>
            <w:r w:rsidR="00F16288" w:rsidRPr="002720C2">
              <w:rPr>
                <w:rFonts w:asciiTheme="majorHAnsi" w:eastAsia="Times New Roman" w:hAnsiTheme="majorHAnsi"/>
                <w:bCs/>
                <w:sz w:val="20"/>
                <w:szCs w:val="20"/>
                <w:lang w:val="en-GB"/>
              </w:rPr>
              <w:t>operational programme</w:t>
            </w:r>
            <w:r w:rsidR="00F16288" w:rsidRPr="002720C2">
              <w:rPr>
                <w:rFonts w:asciiTheme="majorHAnsi" w:eastAsia="Times New Roman" w:hAnsiTheme="majorHAnsi" w:cs="Times New Roman"/>
                <w:bCs/>
                <w:sz w:val="20"/>
                <w:szCs w:val="20"/>
                <w:lang w:val="en-GB"/>
              </w:rPr>
              <w:t xml:space="preserve"> identified during the ex ante evaluation?</w:t>
            </w:r>
            <w:r w:rsidR="00F16288" w:rsidRPr="002720C2">
              <w:rPr>
                <w:rFonts w:asciiTheme="majorHAnsi" w:hAnsiTheme="majorHAnsi"/>
                <w:sz w:val="20"/>
                <w:szCs w:val="20"/>
                <w:lang w:val="en-GB"/>
              </w:rPr>
              <w:t xml:space="preserve"> </w:t>
            </w:r>
          </w:p>
          <w:p w:rsidR="00F16288" w:rsidRPr="002720C2" w:rsidRDefault="00F16288" w:rsidP="00F16288">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sz w:val="20"/>
                <w:szCs w:val="20"/>
                <w:lang w:val="en-GB"/>
              </w:rPr>
            </w:pPr>
            <w:r w:rsidRPr="002720C2">
              <w:rPr>
                <w:rFonts w:asciiTheme="majorHAnsi" w:hAnsiTheme="majorHAnsi"/>
                <w:sz w:val="20"/>
                <w:szCs w:val="20"/>
                <w:lang w:val="en-GB"/>
              </w:rPr>
              <w:t xml:space="preserve">10. </w:t>
            </w:r>
            <w:r w:rsidRPr="002720C2">
              <w:rPr>
                <w:rFonts w:asciiTheme="majorHAnsi" w:eastAsia="Times New Roman" w:hAnsiTheme="majorHAnsi"/>
                <w:bCs/>
                <w:sz w:val="20"/>
                <w:szCs w:val="20"/>
                <w:lang w:val="en-GB"/>
              </w:rPr>
              <w:t>How should the administration system of the 2014–2020 operational programme be improved? (Proposals should be submitted regarding the institutional structure, administrative policies and procedures.)</w:t>
            </w:r>
          </w:p>
          <w:p w:rsidR="00696920" w:rsidRPr="002720C2" w:rsidRDefault="00F16288" w:rsidP="00D52568">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sz w:val="20"/>
                <w:szCs w:val="20"/>
                <w:lang w:val="en-GB" w:eastAsia="lt-LT"/>
              </w:rPr>
            </w:pPr>
            <w:r w:rsidRPr="002720C2">
              <w:rPr>
                <w:rFonts w:asciiTheme="majorHAnsi" w:hAnsiTheme="majorHAnsi"/>
                <w:sz w:val="20"/>
                <w:szCs w:val="20"/>
                <w:lang w:val="en-GB"/>
              </w:rPr>
              <w:t xml:space="preserve">11. </w:t>
            </w:r>
            <w:r w:rsidRPr="002720C2">
              <w:rPr>
                <w:rFonts w:asciiTheme="majorHAnsi" w:eastAsia="Times New Roman" w:hAnsiTheme="majorHAnsi"/>
                <w:bCs/>
                <w:sz w:val="20"/>
                <w:szCs w:val="20"/>
                <w:lang w:val="en-GB" w:eastAsia="lt-LT"/>
              </w:rPr>
              <w:t xml:space="preserve">How should administrative capacities of the </w:t>
            </w:r>
            <w:r w:rsidR="00D52568" w:rsidRPr="002720C2">
              <w:rPr>
                <w:rFonts w:asciiTheme="majorHAnsi" w:eastAsia="Times New Roman" w:hAnsiTheme="majorHAnsi"/>
                <w:bCs/>
                <w:sz w:val="20"/>
                <w:szCs w:val="20"/>
                <w:lang w:val="en-GB" w:eastAsia="lt-LT"/>
              </w:rPr>
              <w:t>authorities</w:t>
            </w:r>
            <w:r w:rsidRPr="002720C2">
              <w:rPr>
                <w:rFonts w:asciiTheme="majorHAnsi" w:eastAsia="Times New Roman" w:hAnsiTheme="majorHAnsi"/>
                <w:bCs/>
                <w:sz w:val="20"/>
                <w:szCs w:val="20"/>
                <w:lang w:val="en-GB" w:eastAsia="lt-LT"/>
              </w:rPr>
              <w:t xml:space="preserve"> and beneficiaries be strengthened? (Suggestions should be provided having regard to the existing situation</w:t>
            </w:r>
            <w:r w:rsidR="004B7104" w:rsidRPr="002720C2">
              <w:rPr>
                <w:rFonts w:asciiTheme="majorHAnsi" w:eastAsia="Times New Roman" w:hAnsiTheme="majorHAnsi"/>
                <w:bCs/>
                <w:sz w:val="20"/>
                <w:szCs w:val="20"/>
                <w:lang w:val="en-GB" w:eastAsia="lt-LT"/>
              </w:rPr>
              <w:t>.)</w:t>
            </w:r>
          </w:p>
        </w:tc>
      </w:tr>
    </w:tbl>
    <w:p w:rsidR="00696920" w:rsidRPr="002720C2" w:rsidRDefault="00696920" w:rsidP="00696920">
      <w:pPr>
        <w:pStyle w:val="Caption"/>
        <w:rPr>
          <w:b w:val="0"/>
          <w:lang w:val="en-GB"/>
        </w:rPr>
      </w:pPr>
    </w:p>
    <w:p w:rsidR="00596FDB" w:rsidRPr="002720C2" w:rsidRDefault="006C1FA9" w:rsidP="006C1FA9">
      <w:pPr>
        <w:spacing w:after="200"/>
        <w:rPr>
          <w:lang w:val="en-GB"/>
        </w:rPr>
      </w:pPr>
      <w:r w:rsidRPr="002720C2">
        <w:rPr>
          <w:lang w:val="en-GB"/>
        </w:rPr>
        <w:br w:type="page"/>
      </w:r>
    </w:p>
    <w:p w:rsidR="00B33F9D" w:rsidRPr="002720C2" w:rsidRDefault="00BA79C7" w:rsidP="00B01C69">
      <w:pPr>
        <w:pStyle w:val="ListParagraph"/>
        <w:numPr>
          <w:ilvl w:val="0"/>
          <w:numId w:val="6"/>
        </w:numPr>
        <w:spacing w:before="100" w:beforeAutospacing="1" w:after="100" w:afterAutospacing="1" w:line="440" w:lineRule="atLeast"/>
        <w:outlineLvl w:val="0"/>
        <w:rPr>
          <w:rFonts w:eastAsia="Times New Roman" w:cs="Times New Roman"/>
          <w:color w:val="175F6E"/>
          <w:kern w:val="36"/>
          <w:sz w:val="45"/>
          <w:szCs w:val="45"/>
          <w:lang w:val="en-GB"/>
        </w:rPr>
      </w:pPr>
      <w:bookmarkStart w:id="2" w:name="_Toc396222426"/>
      <w:r w:rsidRPr="002720C2">
        <w:rPr>
          <w:rFonts w:eastAsia="Times New Roman" w:cs="Times New Roman"/>
          <w:color w:val="175F6E"/>
          <w:kern w:val="36"/>
          <w:sz w:val="45"/>
          <w:szCs w:val="45"/>
          <w:lang w:val="en-GB"/>
        </w:rPr>
        <w:lastRenderedPageBreak/>
        <w:t xml:space="preserve">EVALUATION OF THE </w:t>
      </w:r>
      <w:r w:rsidR="00B01C69" w:rsidRPr="002720C2">
        <w:rPr>
          <w:rFonts w:eastAsia="Times New Roman" w:cs="Times New Roman"/>
          <w:color w:val="175F6E"/>
          <w:kern w:val="36"/>
          <w:sz w:val="45"/>
          <w:szCs w:val="45"/>
          <w:lang w:val="en-GB"/>
        </w:rPr>
        <w:t xml:space="preserve">INTERVENTION LOGIC </w:t>
      </w:r>
      <w:r w:rsidRPr="002720C2">
        <w:rPr>
          <w:rFonts w:eastAsia="Times New Roman" w:cs="Times New Roman"/>
          <w:color w:val="175F6E"/>
          <w:kern w:val="36"/>
          <w:sz w:val="45"/>
          <w:szCs w:val="45"/>
          <w:lang w:val="en-GB"/>
        </w:rPr>
        <w:t xml:space="preserve"> OF THE OPERATIONAL PROGRAMME</w:t>
      </w:r>
      <w:bookmarkEnd w:id="2"/>
    </w:p>
    <w:p w:rsidR="007F41BC" w:rsidRPr="002720C2" w:rsidRDefault="007F41BC" w:rsidP="0080469B">
      <w:pPr>
        <w:pStyle w:val="Default"/>
        <w:numPr>
          <w:ilvl w:val="0"/>
          <w:numId w:val="21"/>
        </w:numPr>
        <w:spacing w:before="100" w:beforeAutospacing="1" w:after="100" w:afterAutospacing="1"/>
        <w:ind w:left="714" w:hanging="357"/>
        <w:jc w:val="both"/>
        <w:rPr>
          <w:rFonts w:asciiTheme="majorHAnsi" w:hAnsiTheme="majorHAnsi"/>
          <w:color w:val="036575" w:themeColor="accent5" w:themeTint="E6"/>
          <w:lang w:val="en-GB"/>
        </w:rPr>
      </w:pPr>
      <w:r w:rsidRPr="002720C2">
        <w:rPr>
          <w:rFonts w:asciiTheme="majorHAnsi" w:hAnsiTheme="majorHAnsi"/>
          <w:color w:val="036575"/>
          <w:lang w:val="en-GB"/>
        </w:rPr>
        <w:t xml:space="preserve">Is the situation described in the draft </w:t>
      </w:r>
      <w:r w:rsidRPr="002720C2">
        <w:rPr>
          <w:rFonts w:asciiTheme="majorHAnsi" w:eastAsia="Times New Roman" w:hAnsiTheme="majorHAnsi"/>
          <w:bCs/>
          <w:color w:val="036575"/>
          <w:lang w:val="en-GB"/>
        </w:rPr>
        <w:t xml:space="preserve">operational programme with respect to the most deprived persons justifiable, clear and appropriate? How will the operational programme contribute to </w:t>
      </w:r>
      <w:r w:rsidRPr="002720C2">
        <w:rPr>
          <w:rFonts w:asciiTheme="minorHAnsi" w:eastAsia="Times New Roman" w:hAnsiTheme="minorHAnsi"/>
          <w:color w:val="036575"/>
          <w:lang w:val="en-GB"/>
        </w:rPr>
        <w:t>the achievement of the Europe 2020 strategy’s objective of reducing the number of people at risk of poverty and social exclusion</w:t>
      </w:r>
      <w:r w:rsidR="00B01C69" w:rsidRPr="002720C2">
        <w:rPr>
          <w:rFonts w:ascii="Cambria" w:eastAsia="Times New Roman" w:hAnsi="Cambria"/>
          <w:bCs/>
          <w:color w:val="036575"/>
          <w:lang w:val="en-GB" w:eastAsia="lt-LT"/>
        </w:rPr>
        <w:t xml:space="preserve">? </w:t>
      </w:r>
    </w:p>
    <w:p w:rsidR="007F41BC" w:rsidRPr="002720C2" w:rsidRDefault="008D645B" w:rsidP="00CB325F">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 xml:space="preserve">Europe 2020, a strategy for smart, sustainable and inclusive growth of Europe, set an EU-wide ambitious </w:t>
      </w:r>
      <w:r w:rsidRPr="002720C2">
        <w:rPr>
          <w:rFonts w:asciiTheme="minorHAnsi" w:eastAsia="Times New Roman" w:hAnsiTheme="minorHAnsi" w:cs="Times New Roman"/>
          <w:sz w:val="22"/>
          <w:lang w:val="en-GB"/>
        </w:rPr>
        <w:t>objective of reducing the number of people in or at risk of poverty and social exclusion by at least 20 million by 2020</w:t>
      </w:r>
      <w:r w:rsidRPr="002720C2">
        <w:rPr>
          <w:rStyle w:val="FootnoteReference"/>
          <w:rFonts w:cs="Calibri"/>
          <w:sz w:val="22"/>
          <w:lang w:val="en-GB"/>
        </w:rPr>
        <w:footnoteReference w:id="6"/>
      </w:r>
      <w:r w:rsidRPr="002720C2">
        <w:rPr>
          <w:rFonts w:eastAsia="Times New Roman" w:cs="Times New Roman"/>
          <w:bCs/>
          <w:sz w:val="22"/>
          <w:lang w:val="en-GB"/>
        </w:rPr>
        <w:t>. One of the flagship initiatives of the Europe 2020 strategy – “European Platform against Poverty and Social Exclusion” – is directly dedicated to this purpose</w:t>
      </w:r>
      <w:r w:rsidRPr="002720C2">
        <w:rPr>
          <w:rStyle w:val="FootnoteReference"/>
          <w:rFonts w:cs="Calibri"/>
          <w:sz w:val="22"/>
          <w:lang w:val="en-GB"/>
        </w:rPr>
        <w:footnoteReference w:id="7"/>
      </w:r>
      <w:r w:rsidRPr="002720C2">
        <w:rPr>
          <w:rFonts w:eastAsia="Times New Roman" w:cs="Times New Roman"/>
          <w:bCs/>
          <w:sz w:val="22"/>
          <w:lang w:val="en-GB"/>
        </w:rPr>
        <w:t>. Its main objective is to encourage a search for new ways to help governments and other stakeholders to develop more effective and innovative methods to tackle poverty. In order to ensure that the objective of poverty reduction be properly addressed in the</w:t>
      </w:r>
      <w:r w:rsidR="00911A78">
        <w:rPr>
          <w:rFonts w:eastAsia="Times New Roman" w:cs="Times New Roman"/>
          <w:bCs/>
          <w:sz w:val="22"/>
          <w:lang w:val="en-GB"/>
        </w:rPr>
        <w:t xml:space="preserve"> Member States, in 2014–2020  the C</w:t>
      </w:r>
      <w:r w:rsidRPr="002720C2">
        <w:rPr>
          <w:rFonts w:eastAsia="Times New Roman" w:cs="Times New Roman"/>
          <w:bCs/>
          <w:sz w:val="22"/>
          <w:lang w:val="en-GB"/>
        </w:rPr>
        <w:t>ohesion policy</w:t>
      </w:r>
      <w:r w:rsidRPr="002720C2">
        <w:rPr>
          <w:sz w:val="22"/>
          <w:lang w:val="en-GB"/>
        </w:rPr>
        <w:t xml:space="preserve"> foresees earmarking at least 20% of </w:t>
      </w:r>
      <w:r w:rsidRPr="002720C2">
        <w:rPr>
          <w:rFonts w:eastAsia="Times New Roman" w:cs="Times New Roman"/>
          <w:bCs/>
          <w:sz w:val="22"/>
          <w:lang w:val="en-GB"/>
        </w:rPr>
        <w:t xml:space="preserve">the European Social Fund </w:t>
      </w:r>
      <w:r w:rsidRPr="002720C2">
        <w:rPr>
          <w:sz w:val="22"/>
          <w:lang w:val="en-GB"/>
        </w:rPr>
        <w:t>for poverty reduction and social inclusion</w:t>
      </w:r>
      <w:r w:rsidR="00067CD9" w:rsidRPr="002720C2">
        <w:rPr>
          <w:rStyle w:val="FootnoteReference"/>
          <w:rFonts w:cs="Arial"/>
          <w:sz w:val="22"/>
          <w:lang w:val="en-GB"/>
        </w:rPr>
        <w:footnoteReference w:id="8"/>
      </w:r>
      <w:r w:rsidR="00B01C69" w:rsidRPr="002720C2">
        <w:rPr>
          <w:rFonts w:eastAsia="Times New Roman" w:cs="Times New Roman"/>
          <w:bCs/>
          <w:sz w:val="22"/>
          <w:lang w:val="en-GB"/>
        </w:rPr>
        <w:t xml:space="preserve">. </w:t>
      </w:r>
    </w:p>
    <w:p w:rsidR="0098613B" w:rsidRPr="002720C2" w:rsidRDefault="00EB5D77" w:rsidP="00CB325F">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At the national level, Member States agreed to achieve the Euro</w:t>
      </w:r>
      <w:r w:rsidR="00911A78">
        <w:rPr>
          <w:rFonts w:eastAsia="Times New Roman" w:cs="Times New Roman"/>
          <w:bCs/>
          <w:sz w:val="22"/>
          <w:lang w:val="en-GB"/>
        </w:rPr>
        <w:t>pe 2020 objectives through the National Reform P</w:t>
      </w:r>
      <w:r w:rsidRPr="002720C2">
        <w:rPr>
          <w:rFonts w:eastAsia="Times New Roman" w:cs="Times New Roman"/>
          <w:bCs/>
          <w:sz w:val="22"/>
          <w:lang w:val="en-GB"/>
        </w:rPr>
        <w:t>rogrammes. The Lithuanian National Reform Agenda establishes that by 2020 Lithuania will seek to reduce poverty and social exclusion or the number of people at risk by 170,000, which is about 15</w:t>
      </w:r>
      <w:r w:rsidRPr="002720C2">
        <w:rPr>
          <w:rFonts w:ascii="Times New Roman" w:eastAsia="Times New Roman" w:hAnsi="Times New Roman" w:cs="Times New Roman"/>
          <w:bCs/>
          <w:sz w:val="22"/>
          <w:lang w:val="en-GB"/>
        </w:rPr>
        <w:t>% of the</w:t>
      </w:r>
      <w:r w:rsidRPr="002720C2">
        <w:rPr>
          <w:rFonts w:eastAsia="Times New Roman" w:cs="Times New Roman"/>
          <w:bCs/>
          <w:sz w:val="22"/>
          <w:lang w:val="en-GB"/>
        </w:rPr>
        <w:t xml:space="preserve"> Lithuanian population at risk of poverty and social exclusion. According to Eurostat, in 2012 32.5</w:t>
      </w:r>
      <w:r w:rsidRPr="002720C2">
        <w:rPr>
          <w:rFonts w:ascii="Times New Roman" w:eastAsia="Times New Roman" w:hAnsi="Times New Roman" w:cs="Times New Roman"/>
          <w:bCs/>
          <w:sz w:val="22"/>
          <w:lang w:val="en-GB"/>
        </w:rPr>
        <w:t>% of</w:t>
      </w:r>
      <w:r w:rsidRPr="002720C2">
        <w:rPr>
          <w:rFonts w:eastAsia="Times New Roman" w:cs="Times New Roman"/>
          <w:bCs/>
          <w:sz w:val="22"/>
          <w:lang w:val="en-GB"/>
        </w:rPr>
        <w:t xml:space="preserve"> the Lithuanian population lived at risk of poverty and social exclusion. The indicator used for monitoring the progress of the implementation of the Europe 2020 strategy is complex</w:t>
      </w:r>
      <w:r w:rsidRPr="002720C2">
        <w:rPr>
          <w:rStyle w:val="FootnoteReference"/>
          <w:sz w:val="22"/>
          <w:lang w:val="en-GB"/>
        </w:rPr>
        <w:footnoteReference w:id="9"/>
      </w:r>
      <w:r w:rsidRPr="002720C2">
        <w:rPr>
          <w:rFonts w:eastAsia="Times New Roman" w:cs="Times New Roman"/>
          <w:bCs/>
          <w:sz w:val="22"/>
          <w:lang w:val="en-GB"/>
        </w:rPr>
        <w:t xml:space="preserve">, so in order to </w:t>
      </w:r>
      <w:r w:rsidRPr="002720C2">
        <w:rPr>
          <w:rFonts w:eastAsia="Times New Roman" w:cs="Times New Roman"/>
          <w:bCs/>
          <w:sz w:val="22"/>
          <w:lang w:val="en-GB"/>
        </w:rPr>
        <w:lastRenderedPageBreak/>
        <w:t>evaluate how the activities supported by the Fund could contribute to the achievement of the strategic objective, various dimensions of such complex object of analysis as poverty must be taken into consideration</w:t>
      </w:r>
      <w:r w:rsidR="00B01C69" w:rsidRPr="002720C2">
        <w:rPr>
          <w:rFonts w:eastAsia="Times New Roman" w:cs="Times New Roman"/>
          <w:bCs/>
          <w:sz w:val="22"/>
          <w:lang w:val="en-GB"/>
        </w:rPr>
        <w:t xml:space="preserve">. </w:t>
      </w:r>
    </w:p>
    <w:p w:rsidR="00C15367" w:rsidRPr="002720C2" w:rsidRDefault="00EB5D77" w:rsidP="00CB325F">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 xml:space="preserve">In 2012, 18.6% of the Lithuanian population lived below </w:t>
      </w:r>
      <w:r w:rsidRPr="002720C2">
        <w:rPr>
          <w:sz w:val="22"/>
          <w:lang w:val="en-GB"/>
        </w:rPr>
        <w:t>the risk-of-poverty threshold</w:t>
      </w:r>
      <w:r w:rsidRPr="002720C2">
        <w:rPr>
          <w:rFonts w:eastAsia="Times New Roman" w:cs="Times New Roman"/>
          <w:bCs/>
          <w:sz w:val="22"/>
          <w:lang w:val="en-GB"/>
        </w:rPr>
        <w:t>. The highest risk of poverty</w:t>
      </w:r>
      <w:r w:rsidRPr="002720C2">
        <w:rPr>
          <w:rStyle w:val="FootnoteReference"/>
          <w:sz w:val="22"/>
          <w:lang w:val="en-GB"/>
        </w:rPr>
        <w:footnoteReference w:id="10"/>
      </w:r>
      <w:r w:rsidRPr="002720C2">
        <w:rPr>
          <w:sz w:val="22"/>
          <w:lang w:val="en-GB"/>
        </w:rPr>
        <w:t xml:space="preserve"> </w:t>
      </w:r>
      <w:r w:rsidRPr="002720C2">
        <w:rPr>
          <w:rFonts w:eastAsia="Times New Roman" w:cs="Times New Roman"/>
          <w:bCs/>
          <w:sz w:val="22"/>
          <w:lang w:val="en-GB"/>
        </w:rPr>
        <w:t xml:space="preserve"> by place of residence was observed in rural areas; at risk of poverty are also households of the unemployed (54.4%), single person families (39.2%), and those aged 50–64-years (38.1%); the there is a problem of deprived children (20.8%). The table below summarises the key statistics concerning the risk of poverty rate in Lithuania</w:t>
      </w:r>
      <w:r w:rsidR="00B01C69" w:rsidRPr="002720C2">
        <w:rPr>
          <w:rFonts w:eastAsia="Times New Roman" w:cs="Times New Roman"/>
          <w:bCs/>
          <w:sz w:val="22"/>
          <w:lang w:val="en-GB"/>
        </w:rPr>
        <w:t xml:space="preserve">. </w:t>
      </w:r>
    </w:p>
    <w:p w:rsidR="009A7F12" w:rsidRPr="002720C2" w:rsidRDefault="00B01C69" w:rsidP="00B01C69">
      <w:pPr>
        <w:spacing w:before="100" w:beforeAutospacing="1" w:line="240" w:lineRule="auto"/>
        <w:ind w:left="360"/>
        <w:rPr>
          <w:rFonts w:eastAsia="Times New Roman" w:cs="Times New Roman"/>
          <w:b/>
          <w:bCs/>
          <w:sz w:val="22"/>
          <w:lang w:val="en-GB"/>
        </w:rPr>
      </w:pPr>
      <w:r w:rsidRPr="002720C2">
        <w:rPr>
          <w:rFonts w:eastAsia="Times New Roman" w:cs="Times New Roman"/>
          <w:b/>
          <w:bCs/>
          <w:sz w:val="22"/>
          <w:lang w:val="en-GB"/>
        </w:rPr>
        <w:t xml:space="preserve">Table 2. </w:t>
      </w:r>
      <w:r w:rsidR="009A7F12" w:rsidRPr="002720C2">
        <w:rPr>
          <w:rFonts w:eastAsia="Times New Roman" w:cs="Times New Roman"/>
          <w:b/>
          <w:bCs/>
          <w:sz w:val="22"/>
          <w:lang w:val="en-GB"/>
        </w:rPr>
        <w:t>R</w:t>
      </w:r>
      <w:r w:rsidRPr="002720C2">
        <w:rPr>
          <w:rFonts w:eastAsia="Times New Roman" w:cs="Times New Roman"/>
          <w:b/>
          <w:bCs/>
          <w:sz w:val="22"/>
          <w:lang w:val="en-GB"/>
        </w:rPr>
        <w:t>isk of poverty rate 2011</w:t>
      </w:r>
      <w:r w:rsidR="000C73BD" w:rsidRPr="002720C2">
        <w:rPr>
          <w:rFonts w:eastAsia="Times New Roman" w:cs="Times New Roman"/>
          <w:b/>
          <w:bCs/>
          <w:sz w:val="22"/>
          <w:lang w:val="en-GB"/>
        </w:rPr>
        <w:t>–</w:t>
      </w:r>
      <w:r w:rsidRPr="002720C2">
        <w:rPr>
          <w:rFonts w:eastAsia="Times New Roman" w:cs="Times New Roman"/>
          <w:b/>
          <w:bCs/>
          <w:sz w:val="22"/>
          <w:lang w:val="en-GB"/>
        </w:rPr>
        <w:t>2012 (</w:t>
      </w:r>
      <w:r w:rsidR="005945AE" w:rsidRPr="002720C2">
        <w:rPr>
          <w:rFonts w:eastAsia="Times New Roman" w:cs="Times New Roman"/>
          <w:b/>
          <w:bCs/>
          <w:sz w:val="22"/>
          <w:lang w:val="en-GB"/>
        </w:rPr>
        <w:t>%</w:t>
      </w:r>
      <w:r w:rsidR="000C73BD" w:rsidRPr="002720C2">
        <w:rPr>
          <w:rFonts w:eastAsia="Times New Roman" w:cs="Times New Roman"/>
          <w:b/>
          <w:bCs/>
          <w:sz w:val="22"/>
          <w:lang w:val="en-GB"/>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812"/>
        <w:gridCol w:w="812"/>
        <w:gridCol w:w="3836"/>
        <w:gridCol w:w="900"/>
        <w:gridCol w:w="810"/>
      </w:tblGrid>
      <w:tr w:rsidR="00596FDB" w:rsidRPr="002720C2" w:rsidTr="00440F15">
        <w:tc>
          <w:tcPr>
            <w:tcW w:w="2536" w:type="dxa"/>
            <w:shd w:val="clear" w:color="auto" w:fill="00505E"/>
          </w:tcPr>
          <w:p w:rsidR="00596FDB" w:rsidRPr="002720C2" w:rsidRDefault="00611F86" w:rsidP="00611F86">
            <w:pPr>
              <w:tabs>
                <w:tab w:val="center" w:pos="4819"/>
                <w:tab w:val="right" w:pos="9638"/>
              </w:tabs>
              <w:contextualSpacing/>
              <w:rPr>
                <w:b/>
                <w:sz w:val="20"/>
                <w:szCs w:val="20"/>
                <w:lang w:val="en-GB"/>
              </w:rPr>
            </w:pPr>
            <w:r w:rsidRPr="002720C2">
              <w:rPr>
                <w:rFonts w:eastAsia="Times New Roman" w:cs="Times New Roman"/>
                <w:b/>
                <w:sz w:val="20"/>
                <w:szCs w:val="20"/>
                <w:lang w:val="en-GB"/>
              </w:rPr>
              <w:t>By p</w:t>
            </w:r>
            <w:r w:rsidR="00B01C69" w:rsidRPr="002720C2">
              <w:rPr>
                <w:rFonts w:eastAsia="Times New Roman" w:cs="Times New Roman"/>
                <w:b/>
                <w:sz w:val="20"/>
                <w:szCs w:val="20"/>
                <w:lang w:val="en-GB"/>
              </w:rPr>
              <w:t>lace</w:t>
            </w:r>
            <w:r w:rsidRPr="002720C2">
              <w:rPr>
                <w:rFonts w:eastAsia="Times New Roman" w:cs="Times New Roman"/>
                <w:b/>
                <w:sz w:val="20"/>
                <w:szCs w:val="20"/>
                <w:lang w:val="en-GB"/>
              </w:rPr>
              <w:t xml:space="preserve"> of residence</w:t>
            </w:r>
          </w:p>
        </w:tc>
        <w:tc>
          <w:tcPr>
            <w:tcW w:w="812" w:type="dxa"/>
            <w:shd w:val="clear" w:color="auto" w:fill="00505E"/>
          </w:tcPr>
          <w:p w:rsidR="00596FDB" w:rsidRPr="002720C2" w:rsidRDefault="00596FDB" w:rsidP="00F43244">
            <w:pPr>
              <w:tabs>
                <w:tab w:val="center" w:pos="4819"/>
                <w:tab w:val="right" w:pos="9638"/>
              </w:tabs>
              <w:contextualSpacing/>
              <w:rPr>
                <w:b/>
                <w:sz w:val="20"/>
                <w:szCs w:val="20"/>
                <w:lang w:val="en-GB"/>
              </w:rPr>
            </w:pPr>
            <w:r w:rsidRPr="002720C2">
              <w:rPr>
                <w:b/>
                <w:sz w:val="20"/>
                <w:szCs w:val="20"/>
                <w:lang w:val="en-GB"/>
              </w:rPr>
              <w:t>2011</w:t>
            </w:r>
          </w:p>
        </w:tc>
        <w:tc>
          <w:tcPr>
            <w:tcW w:w="812" w:type="dxa"/>
            <w:shd w:val="clear" w:color="auto" w:fill="00505E"/>
          </w:tcPr>
          <w:p w:rsidR="00596FDB" w:rsidRPr="002720C2" w:rsidRDefault="00596FDB" w:rsidP="00F43244">
            <w:pPr>
              <w:tabs>
                <w:tab w:val="center" w:pos="4819"/>
                <w:tab w:val="right" w:pos="9638"/>
              </w:tabs>
              <w:contextualSpacing/>
              <w:rPr>
                <w:b/>
                <w:sz w:val="20"/>
                <w:szCs w:val="20"/>
                <w:lang w:val="en-GB"/>
              </w:rPr>
            </w:pPr>
            <w:r w:rsidRPr="002720C2">
              <w:rPr>
                <w:b/>
                <w:sz w:val="20"/>
                <w:szCs w:val="20"/>
                <w:lang w:val="en-GB"/>
              </w:rPr>
              <w:t>2012</w:t>
            </w:r>
          </w:p>
        </w:tc>
        <w:tc>
          <w:tcPr>
            <w:tcW w:w="3836" w:type="dxa"/>
            <w:shd w:val="clear" w:color="auto" w:fill="00505E"/>
          </w:tcPr>
          <w:p w:rsidR="00596FDB" w:rsidRPr="002720C2" w:rsidRDefault="00611F86" w:rsidP="00611F86">
            <w:pPr>
              <w:tabs>
                <w:tab w:val="center" w:pos="4819"/>
                <w:tab w:val="right" w:pos="9638"/>
              </w:tabs>
              <w:contextualSpacing/>
              <w:rPr>
                <w:b/>
                <w:sz w:val="20"/>
                <w:szCs w:val="20"/>
                <w:lang w:val="en-GB"/>
              </w:rPr>
            </w:pPr>
            <w:r w:rsidRPr="002720C2">
              <w:rPr>
                <w:rFonts w:eastAsia="Times New Roman" w:cs="Times New Roman"/>
                <w:b/>
                <w:sz w:val="20"/>
                <w:szCs w:val="20"/>
                <w:lang w:val="en-GB"/>
              </w:rPr>
              <w:t>By</w:t>
            </w:r>
            <w:r w:rsidR="00B01C69" w:rsidRPr="002720C2">
              <w:rPr>
                <w:rFonts w:eastAsia="Times New Roman" w:cs="Times New Roman"/>
                <w:b/>
                <w:sz w:val="20"/>
                <w:szCs w:val="20"/>
                <w:lang w:val="en-GB"/>
              </w:rPr>
              <w:t xml:space="preserve"> employment </w:t>
            </w:r>
            <w:r w:rsidRPr="002720C2">
              <w:rPr>
                <w:rFonts w:eastAsia="Times New Roman" w:cs="Times New Roman"/>
                <w:b/>
                <w:sz w:val="20"/>
                <w:szCs w:val="20"/>
                <w:lang w:val="en-GB"/>
              </w:rPr>
              <w:t>status</w:t>
            </w:r>
          </w:p>
        </w:tc>
        <w:tc>
          <w:tcPr>
            <w:tcW w:w="900" w:type="dxa"/>
            <w:shd w:val="clear" w:color="auto" w:fill="00505E"/>
          </w:tcPr>
          <w:p w:rsidR="00596FDB" w:rsidRPr="002720C2" w:rsidRDefault="00596FDB" w:rsidP="00F43244">
            <w:pPr>
              <w:tabs>
                <w:tab w:val="center" w:pos="4819"/>
                <w:tab w:val="right" w:pos="9638"/>
              </w:tabs>
              <w:contextualSpacing/>
              <w:rPr>
                <w:b/>
                <w:sz w:val="20"/>
                <w:szCs w:val="20"/>
                <w:lang w:val="en-GB"/>
              </w:rPr>
            </w:pPr>
            <w:r w:rsidRPr="002720C2">
              <w:rPr>
                <w:b/>
                <w:sz w:val="20"/>
                <w:szCs w:val="20"/>
                <w:lang w:val="en-GB"/>
              </w:rPr>
              <w:t>2011</w:t>
            </w:r>
          </w:p>
        </w:tc>
        <w:tc>
          <w:tcPr>
            <w:tcW w:w="810" w:type="dxa"/>
            <w:shd w:val="clear" w:color="auto" w:fill="00505E"/>
          </w:tcPr>
          <w:p w:rsidR="00596FDB" w:rsidRPr="002720C2" w:rsidRDefault="00596FDB" w:rsidP="00F43244">
            <w:pPr>
              <w:tabs>
                <w:tab w:val="center" w:pos="4819"/>
                <w:tab w:val="right" w:pos="9638"/>
              </w:tabs>
              <w:contextualSpacing/>
              <w:rPr>
                <w:b/>
                <w:sz w:val="20"/>
                <w:szCs w:val="20"/>
                <w:lang w:val="en-GB"/>
              </w:rPr>
            </w:pPr>
            <w:r w:rsidRPr="002720C2">
              <w:rPr>
                <w:b/>
                <w:sz w:val="20"/>
                <w:szCs w:val="20"/>
                <w:lang w:val="en-GB"/>
              </w:rPr>
              <w:t>2012</w:t>
            </w:r>
          </w:p>
        </w:tc>
      </w:tr>
      <w:tr w:rsidR="00014BB2" w:rsidRPr="002720C2" w:rsidTr="00AC54B3">
        <w:tc>
          <w:tcPr>
            <w:tcW w:w="2536" w:type="dxa"/>
            <w:shd w:val="clear" w:color="auto" w:fill="F6E2A3"/>
            <w:vAlign w:val="center"/>
          </w:tcPr>
          <w:p w:rsidR="00014BB2" w:rsidRPr="002720C2" w:rsidRDefault="00014BB2"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City residents: </w:t>
            </w:r>
          </w:p>
        </w:tc>
        <w:tc>
          <w:tcPr>
            <w:tcW w:w="812" w:type="dxa"/>
            <w:shd w:val="clear" w:color="auto" w:fill="F6E2A3"/>
          </w:tcPr>
          <w:p w:rsidR="00014BB2" w:rsidRPr="002720C2" w:rsidRDefault="00014BB2" w:rsidP="00B01C69">
            <w:pPr>
              <w:tabs>
                <w:tab w:val="center" w:pos="4819"/>
                <w:tab w:val="right" w:pos="9638"/>
              </w:tabs>
              <w:contextualSpacing/>
              <w:rPr>
                <w:sz w:val="20"/>
                <w:szCs w:val="20"/>
                <w:lang w:val="en-GB"/>
              </w:rPr>
            </w:pPr>
            <w:r w:rsidRPr="002720C2">
              <w:rPr>
                <w:sz w:val="20"/>
                <w:szCs w:val="20"/>
                <w:lang w:val="en-GB"/>
              </w:rPr>
              <w:t>14.7</w:t>
            </w:r>
          </w:p>
        </w:tc>
        <w:tc>
          <w:tcPr>
            <w:tcW w:w="812"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13.7</w:t>
            </w:r>
          </w:p>
        </w:tc>
        <w:tc>
          <w:tcPr>
            <w:tcW w:w="3836" w:type="dxa"/>
            <w:shd w:val="clear" w:color="auto" w:fill="F6E2A3"/>
            <w:vAlign w:val="center"/>
          </w:tcPr>
          <w:p w:rsidR="00014BB2" w:rsidRPr="002720C2" w:rsidRDefault="00014BB2"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Employed </w:t>
            </w:r>
          </w:p>
        </w:tc>
        <w:tc>
          <w:tcPr>
            <w:tcW w:w="900" w:type="dxa"/>
            <w:shd w:val="clear" w:color="auto" w:fill="F6E2A3"/>
          </w:tcPr>
          <w:p w:rsidR="00014BB2" w:rsidRPr="002720C2" w:rsidRDefault="00014BB2" w:rsidP="00F43244">
            <w:pPr>
              <w:tabs>
                <w:tab w:val="center" w:pos="4819"/>
                <w:tab w:val="right" w:pos="9638"/>
              </w:tabs>
              <w:contextualSpacing/>
              <w:jc w:val="center"/>
              <w:rPr>
                <w:sz w:val="20"/>
                <w:szCs w:val="20"/>
                <w:lang w:val="en-GB"/>
              </w:rPr>
            </w:pPr>
            <w:r w:rsidRPr="002720C2">
              <w:rPr>
                <w:sz w:val="20"/>
                <w:szCs w:val="20"/>
                <w:lang w:val="en-GB"/>
              </w:rPr>
              <w:t>10.2</w:t>
            </w:r>
          </w:p>
        </w:tc>
        <w:tc>
          <w:tcPr>
            <w:tcW w:w="81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7.6</w:t>
            </w:r>
          </w:p>
        </w:tc>
      </w:tr>
      <w:tr w:rsidR="00014BB2" w:rsidRPr="002720C2" w:rsidTr="00AC54B3">
        <w:tc>
          <w:tcPr>
            <w:tcW w:w="2536" w:type="dxa"/>
            <w:vAlign w:val="center"/>
          </w:tcPr>
          <w:p w:rsidR="00014BB2" w:rsidRPr="002720C2" w:rsidRDefault="00014BB2"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Major cities: </w:t>
            </w:r>
          </w:p>
        </w:tc>
        <w:tc>
          <w:tcPr>
            <w:tcW w:w="812"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14.1</w:t>
            </w:r>
          </w:p>
        </w:tc>
        <w:tc>
          <w:tcPr>
            <w:tcW w:w="812"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11.3</w:t>
            </w:r>
          </w:p>
        </w:tc>
        <w:tc>
          <w:tcPr>
            <w:tcW w:w="3836" w:type="dxa"/>
            <w:vAlign w:val="center"/>
          </w:tcPr>
          <w:p w:rsidR="00014BB2" w:rsidRPr="002720C2" w:rsidRDefault="00014BB2"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Unemployed </w:t>
            </w:r>
          </w:p>
        </w:tc>
        <w:tc>
          <w:tcPr>
            <w:tcW w:w="900" w:type="dxa"/>
          </w:tcPr>
          <w:p w:rsidR="00014BB2" w:rsidRPr="002720C2" w:rsidRDefault="00014BB2" w:rsidP="00F43244">
            <w:pPr>
              <w:tabs>
                <w:tab w:val="center" w:pos="4819"/>
                <w:tab w:val="right" w:pos="9638"/>
              </w:tabs>
              <w:contextualSpacing/>
              <w:jc w:val="center"/>
              <w:rPr>
                <w:sz w:val="20"/>
                <w:szCs w:val="20"/>
                <w:lang w:val="en-GB"/>
              </w:rPr>
            </w:pPr>
            <w:r w:rsidRPr="002720C2">
              <w:rPr>
                <w:sz w:val="20"/>
                <w:szCs w:val="20"/>
                <w:lang w:val="en-GB"/>
              </w:rPr>
              <w:t>53.9</w:t>
            </w:r>
          </w:p>
        </w:tc>
        <w:tc>
          <w:tcPr>
            <w:tcW w:w="810"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54.4</w:t>
            </w:r>
          </w:p>
        </w:tc>
      </w:tr>
      <w:tr w:rsidR="00014BB2" w:rsidRPr="002720C2" w:rsidTr="00AC54B3">
        <w:trPr>
          <w:trHeight w:val="345"/>
        </w:trPr>
        <w:tc>
          <w:tcPr>
            <w:tcW w:w="2536" w:type="dxa"/>
            <w:shd w:val="clear" w:color="auto" w:fill="F6E2A3"/>
            <w:vAlign w:val="center"/>
          </w:tcPr>
          <w:p w:rsidR="00014BB2" w:rsidRPr="002720C2" w:rsidRDefault="00014BB2"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Other cities </w:t>
            </w:r>
          </w:p>
        </w:tc>
        <w:tc>
          <w:tcPr>
            <w:tcW w:w="812"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 xml:space="preserve">17.9                                </w:t>
            </w:r>
          </w:p>
        </w:tc>
        <w:tc>
          <w:tcPr>
            <w:tcW w:w="812"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17.3</w:t>
            </w:r>
          </w:p>
        </w:tc>
        <w:tc>
          <w:tcPr>
            <w:tcW w:w="3836" w:type="dxa"/>
            <w:shd w:val="clear" w:color="auto" w:fill="F6E2A3"/>
            <w:vAlign w:val="center"/>
          </w:tcPr>
          <w:p w:rsidR="00014BB2" w:rsidRPr="002720C2" w:rsidRDefault="00014BB2"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Retirees </w:t>
            </w:r>
          </w:p>
        </w:tc>
        <w:tc>
          <w:tcPr>
            <w:tcW w:w="900" w:type="dxa"/>
            <w:shd w:val="clear" w:color="auto" w:fill="F6E2A3"/>
          </w:tcPr>
          <w:p w:rsidR="00014BB2" w:rsidRPr="002720C2" w:rsidRDefault="00014BB2" w:rsidP="00F43244">
            <w:pPr>
              <w:tabs>
                <w:tab w:val="center" w:pos="4819"/>
                <w:tab w:val="right" w:pos="9638"/>
              </w:tabs>
              <w:contextualSpacing/>
              <w:jc w:val="center"/>
              <w:rPr>
                <w:sz w:val="20"/>
                <w:szCs w:val="20"/>
                <w:lang w:val="en-GB"/>
              </w:rPr>
            </w:pPr>
            <w:r w:rsidRPr="002720C2">
              <w:rPr>
                <w:sz w:val="20"/>
                <w:szCs w:val="20"/>
                <w:lang w:val="en-GB"/>
              </w:rPr>
              <w:t>13.1</w:t>
            </w:r>
          </w:p>
        </w:tc>
        <w:tc>
          <w:tcPr>
            <w:tcW w:w="81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20.8</w:t>
            </w:r>
          </w:p>
        </w:tc>
      </w:tr>
      <w:tr w:rsidR="00014BB2" w:rsidRPr="002720C2" w:rsidTr="00AC54B3">
        <w:tc>
          <w:tcPr>
            <w:tcW w:w="2536" w:type="dxa"/>
            <w:tcBorders>
              <w:bottom w:val="single" w:sz="4" w:space="0" w:color="auto"/>
            </w:tcBorders>
            <w:vAlign w:val="center"/>
          </w:tcPr>
          <w:p w:rsidR="00014BB2" w:rsidRPr="002720C2" w:rsidRDefault="00014BB2"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Village</w:t>
            </w:r>
            <w:r w:rsidR="00611F86" w:rsidRPr="002720C2">
              <w:rPr>
                <w:rFonts w:eastAsia="Times New Roman" w:cs="Times New Roman"/>
                <w:bCs/>
                <w:sz w:val="20"/>
                <w:szCs w:val="20"/>
                <w:lang w:val="en-GB"/>
              </w:rPr>
              <w:t>s</w:t>
            </w:r>
            <w:r w:rsidRPr="002720C2">
              <w:rPr>
                <w:rFonts w:eastAsia="Times New Roman" w:cs="Times New Roman"/>
                <w:bCs/>
                <w:sz w:val="20"/>
                <w:szCs w:val="20"/>
                <w:lang w:val="en-GB"/>
              </w:rPr>
              <w:t xml:space="preserve"> </w:t>
            </w:r>
          </w:p>
        </w:tc>
        <w:tc>
          <w:tcPr>
            <w:tcW w:w="812" w:type="dxa"/>
            <w:tcBorders>
              <w:bottom w:val="single" w:sz="4" w:space="0" w:color="auto"/>
            </w:tcBorders>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28.4</w:t>
            </w:r>
          </w:p>
        </w:tc>
        <w:tc>
          <w:tcPr>
            <w:tcW w:w="812" w:type="dxa"/>
            <w:tcBorders>
              <w:bottom w:val="single" w:sz="4" w:space="0" w:color="auto"/>
            </w:tcBorders>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28.5</w:t>
            </w:r>
          </w:p>
        </w:tc>
        <w:tc>
          <w:tcPr>
            <w:tcW w:w="3836" w:type="dxa"/>
            <w:tcBorders>
              <w:bottom w:val="single" w:sz="4" w:space="0" w:color="auto"/>
            </w:tcBorders>
            <w:vAlign w:val="center"/>
          </w:tcPr>
          <w:p w:rsidR="00014BB2" w:rsidRPr="002720C2" w:rsidRDefault="00DA3819"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Non-active</w:t>
            </w:r>
            <w:r w:rsidR="00014BB2" w:rsidRPr="002720C2">
              <w:rPr>
                <w:rFonts w:eastAsia="Times New Roman" w:cs="Times New Roman"/>
                <w:bCs/>
                <w:sz w:val="20"/>
                <w:szCs w:val="20"/>
                <w:lang w:val="en-GB"/>
              </w:rPr>
              <w:t xml:space="preserve"> population </w:t>
            </w:r>
          </w:p>
        </w:tc>
        <w:tc>
          <w:tcPr>
            <w:tcW w:w="900" w:type="dxa"/>
            <w:tcBorders>
              <w:bottom w:val="single" w:sz="4" w:space="0" w:color="auto"/>
            </w:tcBorders>
          </w:tcPr>
          <w:p w:rsidR="00014BB2" w:rsidRPr="002720C2" w:rsidRDefault="00014BB2" w:rsidP="00F43244">
            <w:pPr>
              <w:tabs>
                <w:tab w:val="center" w:pos="4819"/>
                <w:tab w:val="right" w:pos="9638"/>
              </w:tabs>
              <w:contextualSpacing/>
              <w:jc w:val="center"/>
              <w:rPr>
                <w:sz w:val="20"/>
                <w:szCs w:val="20"/>
                <w:lang w:val="en-GB"/>
              </w:rPr>
            </w:pPr>
            <w:r w:rsidRPr="002720C2">
              <w:rPr>
                <w:sz w:val="20"/>
                <w:szCs w:val="20"/>
                <w:lang w:val="en-GB"/>
              </w:rPr>
              <w:t>28.3</w:t>
            </w:r>
          </w:p>
        </w:tc>
        <w:tc>
          <w:tcPr>
            <w:tcW w:w="810" w:type="dxa"/>
            <w:tcBorders>
              <w:bottom w:val="single" w:sz="4" w:space="0" w:color="auto"/>
            </w:tcBorders>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24.5</w:t>
            </w:r>
          </w:p>
        </w:tc>
      </w:tr>
      <w:tr w:rsidR="00014BB2" w:rsidRPr="002720C2" w:rsidTr="00440F15">
        <w:tc>
          <w:tcPr>
            <w:tcW w:w="2536" w:type="dxa"/>
            <w:shd w:val="clear" w:color="auto" w:fill="00505E"/>
          </w:tcPr>
          <w:p w:rsidR="00014BB2" w:rsidRPr="002720C2" w:rsidRDefault="00611F86" w:rsidP="00F43244">
            <w:pPr>
              <w:tabs>
                <w:tab w:val="center" w:pos="4819"/>
                <w:tab w:val="right" w:pos="9638"/>
              </w:tabs>
              <w:contextualSpacing/>
              <w:rPr>
                <w:b/>
                <w:sz w:val="20"/>
                <w:szCs w:val="20"/>
                <w:lang w:val="en-GB"/>
              </w:rPr>
            </w:pPr>
            <w:r w:rsidRPr="002720C2">
              <w:rPr>
                <w:rFonts w:eastAsia="Times New Roman" w:cs="Times New Roman"/>
                <w:b/>
                <w:sz w:val="20"/>
                <w:szCs w:val="20"/>
                <w:lang w:val="en-GB"/>
              </w:rPr>
              <w:t>By age</w:t>
            </w:r>
            <w:r w:rsidR="00014BB2" w:rsidRPr="002720C2">
              <w:rPr>
                <w:b/>
                <w:sz w:val="20"/>
                <w:szCs w:val="20"/>
                <w:lang w:val="en-GB"/>
              </w:rPr>
              <w:t xml:space="preserve">         </w:t>
            </w:r>
          </w:p>
        </w:tc>
        <w:tc>
          <w:tcPr>
            <w:tcW w:w="812" w:type="dxa"/>
            <w:shd w:val="clear" w:color="auto" w:fill="00505E"/>
          </w:tcPr>
          <w:p w:rsidR="00014BB2" w:rsidRPr="002720C2" w:rsidRDefault="00014BB2" w:rsidP="00F43244">
            <w:pPr>
              <w:tabs>
                <w:tab w:val="center" w:pos="4819"/>
                <w:tab w:val="right" w:pos="9638"/>
              </w:tabs>
              <w:contextualSpacing/>
              <w:rPr>
                <w:b/>
                <w:sz w:val="20"/>
                <w:szCs w:val="20"/>
                <w:lang w:val="en-GB"/>
              </w:rPr>
            </w:pPr>
            <w:r w:rsidRPr="002720C2">
              <w:rPr>
                <w:b/>
                <w:sz w:val="20"/>
                <w:szCs w:val="20"/>
                <w:lang w:val="en-GB"/>
              </w:rPr>
              <w:t xml:space="preserve">2011    </w:t>
            </w:r>
          </w:p>
        </w:tc>
        <w:tc>
          <w:tcPr>
            <w:tcW w:w="812" w:type="dxa"/>
            <w:shd w:val="clear" w:color="auto" w:fill="00505E"/>
          </w:tcPr>
          <w:p w:rsidR="00014BB2" w:rsidRPr="002720C2" w:rsidRDefault="00014BB2" w:rsidP="00F43244">
            <w:pPr>
              <w:tabs>
                <w:tab w:val="center" w:pos="4819"/>
                <w:tab w:val="right" w:pos="9638"/>
              </w:tabs>
              <w:contextualSpacing/>
              <w:rPr>
                <w:b/>
                <w:sz w:val="20"/>
                <w:szCs w:val="20"/>
                <w:lang w:val="en-GB"/>
              </w:rPr>
            </w:pPr>
            <w:r w:rsidRPr="002720C2">
              <w:rPr>
                <w:b/>
                <w:sz w:val="20"/>
                <w:szCs w:val="20"/>
                <w:lang w:val="en-GB"/>
              </w:rPr>
              <w:t>2012</w:t>
            </w:r>
          </w:p>
        </w:tc>
        <w:tc>
          <w:tcPr>
            <w:tcW w:w="3836" w:type="dxa"/>
            <w:shd w:val="clear" w:color="auto" w:fill="00505E"/>
          </w:tcPr>
          <w:p w:rsidR="00014BB2" w:rsidRPr="002720C2" w:rsidRDefault="00611F86" w:rsidP="00611F86">
            <w:pPr>
              <w:tabs>
                <w:tab w:val="center" w:pos="4819"/>
                <w:tab w:val="right" w:pos="9638"/>
              </w:tabs>
              <w:contextualSpacing/>
              <w:rPr>
                <w:b/>
                <w:sz w:val="20"/>
                <w:szCs w:val="20"/>
                <w:lang w:val="en-GB"/>
              </w:rPr>
            </w:pPr>
            <w:r w:rsidRPr="002720C2">
              <w:rPr>
                <w:rFonts w:eastAsia="Times New Roman" w:cs="Times New Roman"/>
                <w:b/>
                <w:sz w:val="20"/>
                <w:szCs w:val="20"/>
                <w:lang w:val="en-GB"/>
              </w:rPr>
              <w:t xml:space="preserve">By </w:t>
            </w:r>
            <w:r w:rsidR="00014BB2" w:rsidRPr="002720C2">
              <w:rPr>
                <w:rFonts w:eastAsia="Times New Roman" w:cs="Times New Roman"/>
                <w:b/>
                <w:sz w:val="20"/>
                <w:szCs w:val="20"/>
                <w:lang w:val="en-GB"/>
              </w:rPr>
              <w:t xml:space="preserve">the type of </w:t>
            </w:r>
            <w:r w:rsidRPr="002720C2">
              <w:rPr>
                <w:rFonts w:eastAsia="Times New Roman" w:cs="Times New Roman"/>
                <w:b/>
                <w:sz w:val="20"/>
                <w:szCs w:val="20"/>
                <w:lang w:val="en-GB"/>
              </w:rPr>
              <w:t>household</w:t>
            </w:r>
            <w:r w:rsidR="00014BB2" w:rsidRPr="002720C2">
              <w:rPr>
                <w:b/>
                <w:sz w:val="20"/>
                <w:szCs w:val="20"/>
                <w:lang w:val="en-GB"/>
              </w:rPr>
              <w:t xml:space="preserve">       </w:t>
            </w:r>
          </w:p>
        </w:tc>
        <w:tc>
          <w:tcPr>
            <w:tcW w:w="900" w:type="dxa"/>
            <w:shd w:val="clear" w:color="auto" w:fill="00505E"/>
          </w:tcPr>
          <w:p w:rsidR="00014BB2" w:rsidRPr="002720C2" w:rsidRDefault="00014BB2" w:rsidP="00F43244">
            <w:pPr>
              <w:tabs>
                <w:tab w:val="center" w:pos="4819"/>
                <w:tab w:val="right" w:pos="9638"/>
              </w:tabs>
              <w:contextualSpacing/>
              <w:rPr>
                <w:b/>
                <w:sz w:val="20"/>
                <w:szCs w:val="20"/>
                <w:lang w:val="en-GB"/>
              </w:rPr>
            </w:pPr>
            <w:r w:rsidRPr="002720C2">
              <w:rPr>
                <w:b/>
                <w:sz w:val="20"/>
                <w:szCs w:val="20"/>
                <w:lang w:val="en-GB"/>
              </w:rPr>
              <w:t>2011</w:t>
            </w:r>
          </w:p>
        </w:tc>
        <w:tc>
          <w:tcPr>
            <w:tcW w:w="810" w:type="dxa"/>
            <w:shd w:val="clear" w:color="auto" w:fill="00505E"/>
          </w:tcPr>
          <w:p w:rsidR="00014BB2" w:rsidRPr="002720C2" w:rsidRDefault="00014BB2" w:rsidP="00F43244">
            <w:pPr>
              <w:tabs>
                <w:tab w:val="center" w:pos="4819"/>
                <w:tab w:val="right" w:pos="9638"/>
              </w:tabs>
              <w:contextualSpacing/>
              <w:rPr>
                <w:b/>
                <w:sz w:val="20"/>
                <w:szCs w:val="20"/>
                <w:lang w:val="en-GB"/>
              </w:rPr>
            </w:pPr>
            <w:r w:rsidRPr="002720C2">
              <w:rPr>
                <w:b/>
                <w:sz w:val="20"/>
                <w:szCs w:val="20"/>
                <w:lang w:val="en-GB"/>
              </w:rPr>
              <w:t>2012</w:t>
            </w:r>
          </w:p>
        </w:tc>
      </w:tr>
      <w:tr w:rsidR="00014BB2" w:rsidRPr="002720C2" w:rsidTr="00AC54B3">
        <w:tc>
          <w:tcPr>
            <w:tcW w:w="2536" w:type="dxa"/>
            <w:vAlign w:val="center"/>
          </w:tcPr>
          <w:p w:rsidR="00014BB2" w:rsidRPr="002720C2" w:rsidRDefault="00014BB2"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Children (</w:t>
            </w:r>
            <w:r w:rsidR="00F21D8A" w:rsidRPr="002720C2">
              <w:rPr>
                <w:rFonts w:eastAsia="Times New Roman" w:cs="Times New Roman"/>
                <w:bCs/>
                <w:sz w:val="20"/>
                <w:szCs w:val="20"/>
                <w:lang w:val="en-GB"/>
              </w:rPr>
              <w:t>aged 0-17</w:t>
            </w:r>
            <w:r w:rsidRPr="002720C2">
              <w:rPr>
                <w:rFonts w:eastAsia="Times New Roman" w:cs="Times New Roman"/>
                <w:bCs/>
                <w:sz w:val="20"/>
                <w:szCs w:val="20"/>
                <w:lang w:val="en-GB"/>
              </w:rPr>
              <w:t xml:space="preserve">) </w:t>
            </w:r>
          </w:p>
        </w:tc>
        <w:tc>
          <w:tcPr>
            <w:tcW w:w="812"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28.7</w:t>
            </w:r>
          </w:p>
        </w:tc>
        <w:tc>
          <w:tcPr>
            <w:tcW w:w="812"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20.8</w:t>
            </w:r>
          </w:p>
        </w:tc>
        <w:tc>
          <w:tcPr>
            <w:tcW w:w="3836" w:type="dxa"/>
            <w:vAlign w:val="center"/>
          </w:tcPr>
          <w:p w:rsidR="00014BB2" w:rsidRPr="002720C2" w:rsidRDefault="00DA3819" w:rsidP="00AC54B3">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s</w:t>
            </w:r>
            <w:r w:rsidR="00014BB2" w:rsidRPr="002720C2">
              <w:rPr>
                <w:rFonts w:eastAsia="Times New Roman" w:cs="Times New Roman"/>
                <w:bCs/>
                <w:sz w:val="20"/>
                <w:szCs w:val="20"/>
                <w:lang w:val="en-GB"/>
              </w:rPr>
              <w:t xml:space="preserve">ingle person </w:t>
            </w:r>
          </w:p>
        </w:tc>
        <w:tc>
          <w:tcPr>
            <w:tcW w:w="900"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 xml:space="preserve">25.1 </w:t>
            </w:r>
          </w:p>
        </w:tc>
        <w:tc>
          <w:tcPr>
            <w:tcW w:w="810"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31.6</w:t>
            </w:r>
          </w:p>
        </w:tc>
      </w:tr>
      <w:tr w:rsidR="00014BB2" w:rsidRPr="002720C2" w:rsidTr="00AC54B3">
        <w:tc>
          <w:tcPr>
            <w:tcW w:w="2536" w:type="dxa"/>
            <w:shd w:val="clear" w:color="auto" w:fill="F6E2A3"/>
            <w:vAlign w:val="center"/>
          </w:tcPr>
          <w:p w:rsidR="00014BB2" w:rsidRPr="002720C2" w:rsidRDefault="00014BB2" w:rsidP="00F21D8A">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18-24 (working age youth) </w:t>
            </w:r>
          </w:p>
        </w:tc>
        <w:tc>
          <w:tcPr>
            <w:tcW w:w="812"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24.8</w:t>
            </w:r>
          </w:p>
        </w:tc>
        <w:tc>
          <w:tcPr>
            <w:tcW w:w="812"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20.2</w:t>
            </w:r>
          </w:p>
        </w:tc>
        <w:tc>
          <w:tcPr>
            <w:tcW w:w="3836" w:type="dxa"/>
            <w:shd w:val="clear" w:color="auto" w:fill="F6E2A3"/>
            <w:vAlign w:val="center"/>
          </w:tcPr>
          <w:p w:rsidR="00DA3819" w:rsidRPr="002720C2" w:rsidRDefault="00014BB2" w:rsidP="00DA3819">
            <w:pPr>
              <w:spacing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two adults </w:t>
            </w:r>
            <w:r w:rsidR="00DA3819" w:rsidRPr="002720C2">
              <w:rPr>
                <w:rFonts w:eastAsia="Times New Roman" w:cs="Times New Roman"/>
                <w:bCs/>
                <w:sz w:val="20"/>
                <w:szCs w:val="20"/>
                <w:lang w:val="en-GB"/>
              </w:rPr>
              <w:t>under</w:t>
            </w:r>
            <w:r w:rsidRPr="002720C2">
              <w:rPr>
                <w:rFonts w:eastAsia="Times New Roman" w:cs="Times New Roman"/>
                <w:bCs/>
                <w:sz w:val="20"/>
                <w:szCs w:val="20"/>
                <w:lang w:val="en-GB"/>
              </w:rPr>
              <w:t xml:space="preserve"> 65 years </w:t>
            </w:r>
            <w:r w:rsidR="00DA3819" w:rsidRPr="002720C2">
              <w:rPr>
                <w:rFonts w:eastAsia="Times New Roman" w:cs="Times New Roman"/>
                <w:bCs/>
                <w:sz w:val="20"/>
                <w:szCs w:val="20"/>
                <w:lang w:val="en-GB"/>
              </w:rPr>
              <w:t>of age</w:t>
            </w:r>
            <w:r w:rsidR="00D40811" w:rsidRPr="002720C2">
              <w:rPr>
                <w:rFonts w:eastAsia="Times New Roman" w:cs="Times New Roman"/>
                <w:bCs/>
                <w:sz w:val="20"/>
                <w:szCs w:val="20"/>
                <w:lang w:val="en-GB"/>
              </w:rPr>
              <w:t>,</w:t>
            </w:r>
            <w:r w:rsidR="00DA3819" w:rsidRPr="002720C2">
              <w:rPr>
                <w:rFonts w:eastAsia="Times New Roman" w:cs="Times New Roman"/>
                <w:bCs/>
                <w:sz w:val="20"/>
                <w:szCs w:val="20"/>
                <w:lang w:val="en-GB"/>
              </w:rPr>
              <w:t xml:space="preserve"> </w:t>
            </w:r>
          </w:p>
          <w:p w:rsidR="00014BB2" w:rsidRPr="002720C2" w:rsidRDefault="00DA3819" w:rsidP="00DA3819">
            <w:pPr>
              <w:spacing w:line="240" w:lineRule="auto"/>
              <w:rPr>
                <w:rFonts w:eastAsia="Times New Roman" w:cs="Times New Roman"/>
                <w:bCs/>
                <w:sz w:val="20"/>
                <w:szCs w:val="20"/>
                <w:lang w:val="en-GB"/>
              </w:rPr>
            </w:pPr>
            <w:r w:rsidRPr="002720C2">
              <w:rPr>
                <w:rFonts w:eastAsia="Times New Roman" w:cs="Times New Roman"/>
                <w:bCs/>
                <w:sz w:val="20"/>
                <w:szCs w:val="20"/>
                <w:lang w:val="en-GB"/>
              </w:rPr>
              <w:t>no children</w:t>
            </w:r>
          </w:p>
        </w:tc>
        <w:tc>
          <w:tcPr>
            <w:tcW w:w="90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17.1</w:t>
            </w:r>
          </w:p>
        </w:tc>
        <w:tc>
          <w:tcPr>
            <w:tcW w:w="81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16.3</w:t>
            </w:r>
          </w:p>
        </w:tc>
      </w:tr>
      <w:tr w:rsidR="00014BB2" w:rsidRPr="002720C2" w:rsidTr="00AC54B3">
        <w:tc>
          <w:tcPr>
            <w:tcW w:w="2536" w:type="dxa"/>
            <w:vAlign w:val="center"/>
          </w:tcPr>
          <w:p w:rsidR="00014BB2" w:rsidRPr="002720C2" w:rsidRDefault="00014BB2" w:rsidP="00F21D8A">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25-49 (working age) </w:t>
            </w:r>
          </w:p>
        </w:tc>
        <w:tc>
          <w:tcPr>
            <w:tcW w:w="812"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30.1</w:t>
            </w:r>
          </w:p>
        </w:tc>
        <w:tc>
          <w:tcPr>
            <w:tcW w:w="812"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17.9</w:t>
            </w:r>
          </w:p>
        </w:tc>
        <w:tc>
          <w:tcPr>
            <w:tcW w:w="3836" w:type="dxa"/>
            <w:vAlign w:val="center"/>
          </w:tcPr>
          <w:p w:rsidR="00A240D4" w:rsidRPr="002720C2" w:rsidRDefault="00014BB2" w:rsidP="00A240D4">
            <w:pPr>
              <w:spacing w:line="240" w:lineRule="auto"/>
              <w:rPr>
                <w:rFonts w:eastAsia="Times New Roman" w:cs="Times New Roman"/>
                <w:bCs/>
                <w:sz w:val="20"/>
                <w:szCs w:val="20"/>
                <w:lang w:val="en-GB"/>
              </w:rPr>
            </w:pPr>
            <w:r w:rsidRPr="002720C2">
              <w:rPr>
                <w:rFonts w:eastAsia="Times New Roman" w:cs="Times New Roman"/>
                <w:bCs/>
                <w:sz w:val="20"/>
                <w:szCs w:val="20"/>
                <w:lang w:val="en-GB"/>
              </w:rPr>
              <w:t>two adults</w:t>
            </w:r>
            <w:r w:rsidR="00DA3819" w:rsidRPr="002720C2">
              <w:rPr>
                <w:rFonts w:eastAsia="Times New Roman" w:cs="Times New Roman"/>
                <w:bCs/>
                <w:sz w:val="20"/>
                <w:szCs w:val="20"/>
                <w:lang w:val="en-GB"/>
              </w:rPr>
              <w:t xml:space="preserve">, one </w:t>
            </w:r>
            <w:r w:rsidRPr="002720C2">
              <w:rPr>
                <w:rFonts w:eastAsia="Times New Roman" w:cs="Times New Roman"/>
                <w:bCs/>
                <w:sz w:val="20"/>
                <w:szCs w:val="20"/>
                <w:lang w:val="en-GB"/>
              </w:rPr>
              <w:t xml:space="preserve">aged 65 or older, </w:t>
            </w:r>
          </w:p>
          <w:p w:rsidR="00014BB2" w:rsidRPr="002720C2" w:rsidRDefault="00014BB2" w:rsidP="00A240D4">
            <w:pPr>
              <w:spacing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no children </w:t>
            </w:r>
          </w:p>
        </w:tc>
        <w:tc>
          <w:tcPr>
            <w:tcW w:w="900"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 xml:space="preserve">6.6 </w:t>
            </w:r>
          </w:p>
        </w:tc>
        <w:tc>
          <w:tcPr>
            <w:tcW w:w="810"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7.6</w:t>
            </w:r>
          </w:p>
        </w:tc>
      </w:tr>
      <w:tr w:rsidR="00014BB2" w:rsidRPr="002720C2" w:rsidTr="00AC54B3">
        <w:tc>
          <w:tcPr>
            <w:tcW w:w="2536" w:type="dxa"/>
            <w:shd w:val="clear" w:color="auto" w:fill="F6E2A3"/>
            <w:vAlign w:val="center"/>
          </w:tcPr>
          <w:p w:rsidR="00014BB2" w:rsidRPr="002720C2" w:rsidRDefault="00014BB2" w:rsidP="00F21D8A">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50-64 (working age) </w:t>
            </w:r>
          </w:p>
        </w:tc>
        <w:tc>
          <w:tcPr>
            <w:tcW w:w="812"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38.1</w:t>
            </w:r>
          </w:p>
        </w:tc>
        <w:tc>
          <w:tcPr>
            <w:tcW w:w="812" w:type="dxa"/>
            <w:shd w:val="clear" w:color="auto" w:fill="F6E2A3"/>
          </w:tcPr>
          <w:p w:rsidR="00014BB2" w:rsidRPr="002720C2" w:rsidRDefault="00014BB2" w:rsidP="00F43244">
            <w:pPr>
              <w:tabs>
                <w:tab w:val="center" w:pos="4819"/>
                <w:tab w:val="right" w:pos="9638"/>
              </w:tabs>
              <w:contextualSpacing/>
              <w:rPr>
                <w:sz w:val="20"/>
                <w:szCs w:val="20"/>
                <w:lang w:val="en-GB"/>
              </w:rPr>
            </w:pPr>
          </w:p>
        </w:tc>
        <w:tc>
          <w:tcPr>
            <w:tcW w:w="3836" w:type="dxa"/>
            <w:shd w:val="clear" w:color="auto" w:fill="F6E2A3"/>
            <w:vAlign w:val="center"/>
          </w:tcPr>
          <w:p w:rsidR="00A240D4" w:rsidRPr="002720C2" w:rsidRDefault="00014BB2" w:rsidP="00A240D4">
            <w:pPr>
              <w:spacing w:line="240" w:lineRule="auto"/>
              <w:rPr>
                <w:rFonts w:eastAsia="Times New Roman" w:cs="Times New Roman"/>
                <w:bCs/>
                <w:sz w:val="20"/>
                <w:szCs w:val="20"/>
                <w:lang w:val="en-GB"/>
              </w:rPr>
            </w:pPr>
            <w:r w:rsidRPr="002720C2">
              <w:rPr>
                <w:rFonts w:eastAsia="Times New Roman" w:cs="Times New Roman"/>
                <w:bCs/>
                <w:sz w:val="20"/>
                <w:szCs w:val="20"/>
                <w:lang w:val="en-GB"/>
              </w:rPr>
              <w:t>three or more adult</w:t>
            </w:r>
            <w:r w:rsidR="00A240D4" w:rsidRPr="002720C2">
              <w:rPr>
                <w:rFonts w:eastAsia="Times New Roman" w:cs="Times New Roman"/>
                <w:bCs/>
                <w:sz w:val="20"/>
                <w:szCs w:val="20"/>
                <w:lang w:val="en-GB"/>
              </w:rPr>
              <w:t>s,</w:t>
            </w:r>
          </w:p>
          <w:p w:rsidR="00014BB2" w:rsidRPr="002720C2" w:rsidRDefault="00A240D4" w:rsidP="00A240D4">
            <w:pPr>
              <w:spacing w:line="240" w:lineRule="auto"/>
              <w:rPr>
                <w:rFonts w:eastAsia="Times New Roman" w:cs="Times New Roman"/>
                <w:bCs/>
                <w:sz w:val="20"/>
                <w:szCs w:val="20"/>
                <w:lang w:val="en-GB"/>
              </w:rPr>
            </w:pPr>
            <w:r w:rsidRPr="002720C2">
              <w:rPr>
                <w:rFonts w:eastAsia="Times New Roman" w:cs="Times New Roman"/>
                <w:bCs/>
                <w:sz w:val="20"/>
                <w:szCs w:val="20"/>
                <w:lang w:val="en-GB"/>
              </w:rPr>
              <w:t>no</w:t>
            </w:r>
            <w:r w:rsidR="00014BB2" w:rsidRPr="002720C2">
              <w:rPr>
                <w:rFonts w:eastAsia="Times New Roman" w:cs="Times New Roman"/>
                <w:bCs/>
                <w:sz w:val="20"/>
                <w:szCs w:val="20"/>
                <w:lang w:val="en-GB"/>
              </w:rPr>
              <w:t xml:space="preserve"> children </w:t>
            </w:r>
          </w:p>
        </w:tc>
        <w:tc>
          <w:tcPr>
            <w:tcW w:w="90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10.5</w:t>
            </w:r>
          </w:p>
        </w:tc>
        <w:tc>
          <w:tcPr>
            <w:tcW w:w="81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12.5</w:t>
            </w:r>
          </w:p>
        </w:tc>
      </w:tr>
      <w:tr w:rsidR="00014BB2" w:rsidRPr="002720C2" w:rsidTr="00F21D8A">
        <w:tc>
          <w:tcPr>
            <w:tcW w:w="2536" w:type="dxa"/>
            <w:vMerge w:val="restart"/>
          </w:tcPr>
          <w:p w:rsidR="00014BB2" w:rsidRPr="002720C2" w:rsidRDefault="00F21D8A" w:rsidP="00F21D8A">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Over </w:t>
            </w:r>
            <w:r w:rsidR="00014BB2" w:rsidRPr="002720C2">
              <w:rPr>
                <w:rFonts w:eastAsia="Times New Roman" w:cs="Times New Roman"/>
                <w:bCs/>
                <w:sz w:val="20"/>
                <w:szCs w:val="20"/>
                <w:lang w:val="en-GB"/>
              </w:rPr>
              <w:t xml:space="preserve">65 </w:t>
            </w:r>
          </w:p>
        </w:tc>
        <w:tc>
          <w:tcPr>
            <w:tcW w:w="812" w:type="dxa"/>
            <w:vMerge w:val="restart"/>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 xml:space="preserve">10.1                              </w:t>
            </w:r>
          </w:p>
        </w:tc>
        <w:tc>
          <w:tcPr>
            <w:tcW w:w="812" w:type="dxa"/>
            <w:vMerge w:val="restart"/>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18.7</w:t>
            </w:r>
          </w:p>
        </w:tc>
        <w:tc>
          <w:tcPr>
            <w:tcW w:w="3836" w:type="dxa"/>
            <w:vAlign w:val="center"/>
          </w:tcPr>
          <w:p w:rsidR="00014BB2" w:rsidRPr="002720C2" w:rsidRDefault="00014BB2" w:rsidP="00A240D4">
            <w:pPr>
              <w:spacing w:line="240" w:lineRule="auto"/>
              <w:rPr>
                <w:rFonts w:eastAsia="Times New Roman" w:cs="Times New Roman"/>
                <w:bCs/>
                <w:sz w:val="20"/>
                <w:szCs w:val="20"/>
                <w:lang w:val="en-GB"/>
              </w:rPr>
            </w:pPr>
            <w:r w:rsidRPr="002720C2">
              <w:rPr>
                <w:rFonts w:eastAsia="Times New Roman" w:cs="Times New Roman"/>
                <w:bCs/>
                <w:sz w:val="20"/>
                <w:szCs w:val="20"/>
                <w:lang w:val="en-GB"/>
              </w:rPr>
              <w:t>one adult</w:t>
            </w:r>
            <w:r w:rsidR="00A240D4" w:rsidRPr="002720C2">
              <w:rPr>
                <w:rFonts w:eastAsia="Times New Roman" w:cs="Times New Roman"/>
                <w:bCs/>
                <w:sz w:val="20"/>
                <w:szCs w:val="20"/>
                <w:lang w:val="en-GB"/>
              </w:rPr>
              <w:t xml:space="preserve"> and</w:t>
            </w:r>
            <w:r w:rsidRPr="002720C2">
              <w:rPr>
                <w:rFonts w:eastAsia="Times New Roman" w:cs="Times New Roman"/>
                <w:bCs/>
                <w:sz w:val="20"/>
                <w:szCs w:val="20"/>
                <w:lang w:val="en-GB"/>
              </w:rPr>
              <w:t xml:space="preserve"> one or more children </w:t>
            </w:r>
          </w:p>
        </w:tc>
        <w:tc>
          <w:tcPr>
            <w:tcW w:w="900"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44.0</w:t>
            </w:r>
          </w:p>
        </w:tc>
        <w:tc>
          <w:tcPr>
            <w:tcW w:w="810"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39.2</w:t>
            </w:r>
          </w:p>
        </w:tc>
      </w:tr>
      <w:tr w:rsidR="00014BB2" w:rsidRPr="002720C2" w:rsidTr="00AC54B3">
        <w:tc>
          <w:tcPr>
            <w:tcW w:w="2536" w:type="dxa"/>
            <w:vMerge/>
            <w:shd w:val="clear" w:color="auto" w:fill="F6E2A3"/>
            <w:vAlign w:val="center"/>
          </w:tcPr>
          <w:p w:rsidR="00014BB2" w:rsidRPr="002720C2" w:rsidRDefault="00014BB2" w:rsidP="00F43244">
            <w:pPr>
              <w:tabs>
                <w:tab w:val="center" w:pos="4819"/>
                <w:tab w:val="right" w:pos="9638"/>
              </w:tabs>
              <w:contextualSpacing/>
              <w:rPr>
                <w:sz w:val="20"/>
                <w:szCs w:val="20"/>
                <w:lang w:val="en-GB"/>
              </w:rPr>
            </w:pPr>
          </w:p>
        </w:tc>
        <w:tc>
          <w:tcPr>
            <w:tcW w:w="812" w:type="dxa"/>
            <w:vMerge/>
            <w:shd w:val="clear" w:color="auto" w:fill="F6E2A3"/>
          </w:tcPr>
          <w:p w:rsidR="00014BB2" w:rsidRPr="002720C2" w:rsidRDefault="00014BB2" w:rsidP="00F43244">
            <w:pPr>
              <w:tabs>
                <w:tab w:val="center" w:pos="4819"/>
                <w:tab w:val="right" w:pos="9638"/>
              </w:tabs>
              <w:contextualSpacing/>
              <w:rPr>
                <w:sz w:val="20"/>
                <w:szCs w:val="20"/>
                <w:lang w:val="en-GB"/>
              </w:rPr>
            </w:pPr>
          </w:p>
        </w:tc>
        <w:tc>
          <w:tcPr>
            <w:tcW w:w="812" w:type="dxa"/>
            <w:vMerge/>
            <w:shd w:val="clear" w:color="auto" w:fill="F6E2A3"/>
          </w:tcPr>
          <w:p w:rsidR="00014BB2" w:rsidRPr="002720C2" w:rsidRDefault="00014BB2" w:rsidP="00F43244">
            <w:pPr>
              <w:tabs>
                <w:tab w:val="center" w:pos="4819"/>
                <w:tab w:val="right" w:pos="9638"/>
              </w:tabs>
              <w:contextualSpacing/>
              <w:rPr>
                <w:sz w:val="20"/>
                <w:szCs w:val="20"/>
                <w:lang w:val="en-GB"/>
              </w:rPr>
            </w:pPr>
          </w:p>
        </w:tc>
        <w:tc>
          <w:tcPr>
            <w:tcW w:w="3836" w:type="dxa"/>
            <w:shd w:val="clear" w:color="auto" w:fill="F6E2A3"/>
            <w:vAlign w:val="center"/>
          </w:tcPr>
          <w:p w:rsidR="00014BB2" w:rsidRPr="002720C2" w:rsidRDefault="00A240D4" w:rsidP="00A240D4">
            <w:pPr>
              <w:spacing w:line="240" w:lineRule="auto"/>
              <w:rPr>
                <w:rFonts w:eastAsia="Times New Roman" w:cs="Times New Roman"/>
                <w:bCs/>
                <w:sz w:val="20"/>
                <w:szCs w:val="20"/>
                <w:lang w:val="en-GB"/>
              </w:rPr>
            </w:pPr>
            <w:r w:rsidRPr="002720C2">
              <w:rPr>
                <w:rFonts w:eastAsia="Times New Roman" w:cs="Times New Roman"/>
                <w:bCs/>
                <w:sz w:val="20"/>
                <w:szCs w:val="20"/>
                <w:lang w:val="en-GB"/>
              </w:rPr>
              <w:t xml:space="preserve">two adults and </w:t>
            </w:r>
            <w:r w:rsidR="00014BB2" w:rsidRPr="002720C2">
              <w:rPr>
                <w:rFonts w:eastAsia="Times New Roman" w:cs="Times New Roman"/>
                <w:bCs/>
                <w:sz w:val="20"/>
                <w:szCs w:val="20"/>
                <w:lang w:val="en-GB"/>
              </w:rPr>
              <w:t xml:space="preserve">one child </w:t>
            </w:r>
          </w:p>
        </w:tc>
        <w:tc>
          <w:tcPr>
            <w:tcW w:w="90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15,5</w:t>
            </w:r>
          </w:p>
        </w:tc>
        <w:tc>
          <w:tcPr>
            <w:tcW w:w="81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12.3</w:t>
            </w:r>
          </w:p>
        </w:tc>
      </w:tr>
      <w:tr w:rsidR="00014BB2" w:rsidRPr="002720C2" w:rsidTr="00AC54B3">
        <w:tc>
          <w:tcPr>
            <w:tcW w:w="2536" w:type="dxa"/>
            <w:vMerge/>
            <w:vAlign w:val="center"/>
          </w:tcPr>
          <w:p w:rsidR="00014BB2" w:rsidRPr="002720C2" w:rsidRDefault="00014BB2" w:rsidP="00F43244">
            <w:pPr>
              <w:tabs>
                <w:tab w:val="center" w:pos="4819"/>
                <w:tab w:val="right" w:pos="9638"/>
              </w:tabs>
              <w:contextualSpacing/>
              <w:rPr>
                <w:sz w:val="20"/>
                <w:szCs w:val="20"/>
                <w:lang w:val="en-GB"/>
              </w:rPr>
            </w:pPr>
          </w:p>
        </w:tc>
        <w:tc>
          <w:tcPr>
            <w:tcW w:w="812" w:type="dxa"/>
            <w:vMerge/>
          </w:tcPr>
          <w:p w:rsidR="00014BB2" w:rsidRPr="002720C2" w:rsidRDefault="00014BB2" w:rsidP="00F43244">
            <w:pPr>
              <w:tabs>
                <w:tab w:val="center" w:pos="4819"/>
                <w:tab w:val="right" w:pos="9638"/>
              </w:tabs>
              <w:contextualSpacing/>
              <w:rPr>
                <w:sz w:val="20"/>
                <w:szCs w:val="20"/>
                <w:lang w:val="en-GB"/>
              </w:rPr>
            </w:pPr>
          </w:p>
        </w:tc>
        <w:tc>
          <w:tcPr>
            <w:tcW w:w="812" w:type="dxa"/>
            <w:vMerge/>
          </w:tcPr>
          <w:p w:rsidR="00014BB2" w:rsidRPr="002720C2" w:rsidRDefault="00014BB2" w:rsidP="00F43244">
            <w:pPr>
              <w:tabs>
                <w:tab w:val="center" w:pos="4819"/>
                <w:tab w:val="right" w:pos="9638"/>
              </w:tabs>
              <w:contextualSpacing/>
              <w:rPr>
                <w:sz w:val="20"/>
                <w:szCs w:val="20"/>
                <w:lang w:val="en-GB"/>
              </w:rPr>
            </w:pPr>
          </w:p>
        </w:tc>
        <w:tc>
          <w:tcPr>
            <w:tcW w:w="3836" w:type="dxa"/>
            <w:vAlign w:val="center"/>
          </w:tcPr>
          <w:p w:rsidR="00014BB2" w:rsidRPr="002720C2" w:rsidRDefault="00014BB2" w:rsidP="00A240D4">
            <w:pPr>
              <w:spacing w:line="240" w:lineRule="auto"/>
              <w:rPr>
                <w:rFonts w:eastAsia="Times New Roman" w:cs="Times New Roman"/>
                <w:bCs/>
                <w:sz w:val="20"/>
                <w:szCs w:val="20"/>
                <w:lang w:val="en-GB"/>
              </w:rPr>
            </w:pPr>
            <w:r w:rsidRPr="002720C2">
              <w:rPr>
                <w:rFonts w:eastAsia="Times New Roman" w:cs="Times New Roman"/>
                <w:bCs/>
                <w:sz w:val="20"/>
                <w:szCs w:val="20"/>
                <w:lang w:val="en-GB"/>
              </w:rPr>
              <w:t>two adult</w:t>
            </w:r>
            <w:r w:rsidR="00A240D4" w:rsidRPr="002720C2">
              <w:rPr>
                <w:rFonts w:eastAsia="Times New Roman" w:cs="Times New Roman"/>
                <w:bCs/>
                <w:sz w:val="20"/>
                <w:szCs w:val="20"/>
                <w:lang w:val="en-GB"/>
              </w:rPr>
              <w:t>s and</w:t>
            </w:r>
            <w:r w:rsidRPr="002720C2">
              <w:rPr>
                <w:rFonts w:eastAsia="Times New Roman" w:cs="Times New Roman"/>
                <w:bCs/>
                <w:sz w:val="20"/>
                <w:szCs w:val="20"/>
                <w:lang w:val="en-GB"/>
              </w:rPr>
              <w:t xml:space="preserve"> two or more children </w:t>
            </w:r>
          </w:p>
        </w:tc>
        <w:tc>
          <w:tcPr>
            <w:tcW w:w="900"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24.2</w:t>
            </w:r>
          </w:p>
        </w:tc>
        <w:tc>
          <w:tcPr>
            <w:tcW w:w="810" w:type="dxa"/>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18.5</w:t>
            </w:r>
          </w:p>
        </w:tc>
      </w:tr>
      <w:tr w:rsidR="00014BB2" w:rsidRPr="002720C2" w:rsidTr="00AC54B3">
        <w:tc>
          <w:tcPr>
            <w:tcW w:w="2536" w:type="dxa"/>
            <w:vMerge/>
            <w:shd w:val="clear" w:color="auto" w:fill="F6E2A3"/>
            <w:vAlign w:val="center"/>
          </w:tcPr>
          <w:p w:rsidR="00014BB2" w:rsidRPr="002720C2" w:rsidRDefault="00014BB2" w:rsidP="00F43244">
            <w:pPr>
              <w:tabs>
                <w:tab w:val="center" w:pos="4819"/>
                <w:tab w:val="right" w:pos="9638"/>
              </w:tabs>
              <w:contextualSpacing/>
              <w:rPr>
                <w:sz w:val="20"/>
                <w:szCs w:val="20"/>
                <w:lang w:val="en-GB"/>
              </w:rPr>
            </w:pPr>
          </w:p>
        </w:tc>
        <w:tc>
          <w:tcPr>
            <w:tcW w:w="812" w:type="dxa"/>
            <w:vMerge/>
            <w:shd w:val="clear" w:color="auto" w:fill="F6E2A3"/>
          </w:tcPr>
          <w:p w:rsidR="00014BB2" w:rsidRPr="002720C2" w:rsidRDefault="00014BB2" w:rsidP="00F43244">
            <w:pPr>
              <w:tabs>
                <w:tab w:val="center" w:pos="4819"/>
                <w:tab w:val="right" w:pos="9638"/>
              </w:tabs>
              <w:contextualSpacing/>
              <w:rPr>
                <w:sz w:val="20"/>
                <w:szCs w:val="20"/>
                <w:lang w:val="en-GB"/>
              </w:rPr>
            </w:pPr>
          </w:p>
        </w:tc>
        <w:tc>
          <w:tcPr>
            <w:tcW w:w="812" w:type="dxa"/>
            <w:vMerge/>
            <w:shd w:val="clear" w:color="auto" w:fill="F6E2A3"/>
          </w:tcPr>
          <w:p w:rsidR="00014BB2" w:rsidRPr="002720C2" w:rsidRDefault="00014BB2" w:rsidP="00F43244">
            <w:pPr>
              <w:tabs>
                <w:tab w:val="center" w:pos="4819"/>
                <w:tab w:val="right" w:pos="9638"/>
              </w:tabs>
              <w:contextualSpacing/>
              <w:rPr>
                <w:sz w:val="20"/>
                <w:szCs w:val="20"/>
                <w:lang w:val="en-GB"/>
              </w:rPr>
            </w:pPr>
          </w:p>
        </w:tc>
        <w:tc>
          <w:tcPr>
            <w:tcW w:w="3836" w:type="dxa"/>
            <w:shd w:val="clear" w:color="auto" w:fill="F6E2A3"/>
            <w:vAlign w:val="center"/>
          </w:tcPr>
          <w:p w:rsidR="00014BB2" w:rsidRPr="002720C2" w:rsidRDefault="00014BB2" w:rsidP="00052109">
            <w:pPr>
              <w:spacing w:before="100" w:beforeAutospacing="1" w:after="100" w:afterAutospacing="1" w:line="240" w:lineRule="auto"/>
              <w:rPr>
                <w:rFonts w:eastAsia="Times New Roman" w:cs="Times New Roman"/>
                <w:bCs/>
                <w:sz w:val="20"/>
                <w:szCs w:val="20"/>
                <w:lang w:val="en-GB"/>
              </w:rPr>
            </w:pPr>
            <w:r w:rsidRPr="002720C2">
              <w:rPr>
                <w:rFonts w:eastAsia="Times New Roman" w:cs="Times New Roman"/>
                <w:bCs/>
                <w:sz w:val="20"/>
                <w:szCs w:val="20"/>
                <w:lang w:val="en-GB"/>
              </w:rPr>
              <w:t>three or more adult</w:t>
            </w:r>
            <w:r w:rsidR="00A240D4" w:rsidRPr="002720C2">
              <w:rPr>
                <w:rFonts w:eastAsia="Times New Roman" w:cs="Times New Roman"/>
                <w:bCs/>
                <w:sz w:val="20"/>
                <w:szCs w:val="20"/>
                <w:lang w:val="en-GB"/>
              </w:rPr>
              <w:t>s</w:t>
            </w:r>
            <w:r w:rsidRPr="002720C2">
              <w:rPr>
                <w:rFonts w:eastAsia="Times New Roman" w:cs="Times New Roman"/>
                <w:bCs/>
                <w:sz w:val="20"/>
                <w:szCs w:val="20"/>
                <w:lang w:val="en-GB"/>
              </w:rPr>
              <w:t xml:space="preserve"> </w:t>
            </w:r>
            <w:r w:rsidR="00052109" w:rsidRPr="002720C2">
              <w:rPr>
                <w:rFonts w:eastAsia="Times New Roman" w:cs="Times New Roman"/>
                <w:bCs/>
                <w:sz w:val="20"/>
                <w:szCs w:val="20"/>
                <w:lang w:val="en-GB"/>
              </w:rPr>
              <w:t>with</w:t>
            </w:r>
            <w:r w:rsidR="00A240D4" w:rsidRPr="002720C2">
              <w:rPr>
                <w:rFonts w:eastAsia="Times New Roman" w:cs="Times New Roman"/>
                <w:bCs/>
                <w:sz w:val="20"/>
                <w:szCs w:val="20"/>
                <w:lang w:val="en-GB"/>
              </w:rPr>
              <w:t xml:space="preserve"> </w:t>
            </w:r>
            <w:r w:rsidRPr="002720C2">
              <w:rPr>
                <w:rFonts w:eastAsia="Times New Roman" w:cs="Times New Roman"/>
                <w:bCs/>
                <w:sz w:val="20"/>
                <w:szCs w:val="20"/>
                <w:lang w:val="en-GB"/>
              </w:rPr>
              <w:t xml:space="preserve">children </w:t>
            </w:r>
          </w:p>
        </w:tc>
        <w:tc>
          <w:tcPr>
            <w:tcW w:w="90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14.3</w:t>
            </w:r>
          </w:p>
        </w:tc>
        <w:tc>
          <w:tcPr>
            <w:tcW w:w="810" w:type="dxa"/>
            <w:shd w:val="clear" w:color="auto" w:fill="F6E2A3"/>
          </w:tcPr>
          <w:p w:rsidR="00014BB2" w:rsidRPr="002720C2" w:rsidRDefault="00014BB2" w:rsidP="00F43244">
            <w:pPr>
              <w:tabs>
                <w:tab w:val="center" w:pos="4819"/>
                <w:tab w:val="right" w:pos="9638"/>
              </w:tabs>
              <w:contextualSpacing/>
              <w:rPr>
                <w:sz w:val="20"/>
                <w:szCs w:val="20"/>
                <w:lang w:val="en-GB"/>
              </w:rPr>
            </w:pPr>
            <w:r w:rsidRPr="002720C2">
              <w:rPr>
                <w:sz w:val="20"/>
                <w:szCs w:val="20"/>
                <w:lang w:val="en-GB"/>
              </w:rPr>
              <w:t>15.2</w:t>
            </w:r>
          </w:p>
        </w:tc>
      </w:tr>
    </w:tbl>
    <w:p w:rsidR="00D40811" w:rsidRPr="002720C2" w:rsidRDefault="00014BB2" w:rsidP="00014BB2">
      <w:pPr>
        <w:spacing w:after="240" w:line="240" w:lineRule="auto"/>
        <w:ind w:left="360"/>
        <w:rPr>
          <w:rFonts w:eastAsia="Times New Roman" w:cs="Times New Roman"/>
          <w:bCs/>
          <w:sz w:val="20"/>
          <w:szCs w:val="20"/>
          <w:lang w:val="en-GB"/>
        </w:rPr>
      </w:pPr>
      <w:r w:rsidRPr="002720C2">
        <w:rPr>
          <w:rFonts w:eastAsia="Times New Roman" w:cs="Times New Roman"/>
          <w:bCs/>
          <w:sz w:val="20"/>
          <w:szCs w:val="20"/>
          <w:lang w:val="en-GB"/>
        </w:rPr>
        <w:t xml:space="preserve">Source: </w:t>
      </w:r>
      <w:r w:rsidR="00D40811" w:rsidRPr="002720C2">
        <w:rPr>
          <w:rFonts w:eastAsia="Times New Roman" w:cs="Times New Roman"/>
          <w:bCs/>
          <w:sz w:val="20"/>
          <w:szCs w:val="20"/>
          <w:lang w:val="en-GB"/>
        </w:rPr>
        <w:t>completed by the authors,</w:t>
      </w:r>
      <w:r w:rsidRPr="002720C2">
        <w:rPr>
          <w:rFonts w:eastAsia="Times New Roman" w:cs="Times New Roman"/>
          <w:bCs/>
          <w:sz w:val="20"/>
          <w:szCs w:val="20"/>
          <w:lang w:val="en-GB"/>
        </w:rPr>
        <w:t xml:space="preserve"> based on the</w:t>
      </w:r>
      <w:r w:rsidR="00D40811" w:rsidRPr="002720C2">
        <w:rPr>
          <w:rFonts w:eastAsia="Times New Roman" w:cs="Times New Roman"/>
          <w:bCs/>
          <w:sz w:val="20"/>
          <w:szCs w:val="20"/>
          <w:lang w:val="en-GB"/>
        </w:rPr>
        <w:t xml:space="preserve"> data of the </w:t>
      </w:r>
      <w:r w:rsidRPr="002720C2">
        <w:rPr>
          <w:rFonts w:eastAsia="Times New Roman" w:cs="Times New Roman"/>
          <w:bCs/>
          <w:sz w:val="20"/>
          <w:szCs w:val="20"/>
          <w:lang w:val="en-GB"/>
        </w:rPr>
        <w:t xml:space="preserve">Lithuanian Department of Statistics. </w:t>
      </w:r>
    </w:p>
    <w:p w:rsidR="00ED5F29" w:rsidRPr="002720C2" w:rsidRDefault="007436E1" w:rsidP="00F61D48">
      <w:pPr>
        <w:spacing w:before="100" w:beforeAutospacing="1" w:after="100" w:afterAutospacing="1"/>
        <w:ind w:left="357"/>
        <w:jc w:val="both"/>
        <w:rPr>
          <w:rFonts w:eastAsia="Times New Roman" w:cs="Times New Roman"/>
          <w:bCs/>
          <w:sz w:val="22"/>
          <w:lang w:val="en-GB"/>
        </w:rPr>
      </w:pPr>
      <w:r w:rsidRPr="002720C2">
        <w:rPr>
          <w:rFonts w:eastAsia="Times New Roman" w:cs="Times New Roman"/>
          <w:bCs/>
          <w:sz w:val="22"/>
          <w:lang w:val="en-GB"/>
        </w:rPr>
        <w:t>In 2012, 19.8% of the Lithuanian population lived under conditions of severe material deprivation</w:t>
      </w:r>
      <w:r w:rsidRPr="002720C2">
        <w:rPr>
          <w:rStyle w:val="FootnoteReference"/>
          <w:sz w:val="22"/>
          <w:lang w:val="en-GB"/>
        </w:rPr>
        <w:footnoteReference w:id="11"/>
      </w:r>
      <w:r w:rsidRPr="002720C2">
        <w:rPr>
          <w:rFonts w:eastAsia="Times New Roman" w:cs="Times New Roman"/>
          <w:bCs/>
          <w:sz w:val="22"/>
          <w:lang w:val="en-GB"/>
        </w:rPr>
        <w:t xml:space="preserve"> and 23% of the population could not afford to </w:t>
      </w:r>
      <w:r w:rsidRPr="002720C2">
        <w:rPr>
          <w:sz w:val="22"/>
          <w:lang w:val="en-GB"/>
        </w:rPr>
        <w:t>eat meat, fish or a protein equivalent every second day</w:t>
      </w:r>
      <w:r w:rsidRPr="002720C2">
        <w:rPr>
          <w:rFonts w:eastAsia="Times New Roman" w:cs="Times New Roman"/>
          <w:bCs/>
          <w:sz w:val="22"/>
          <w:lang w:val="en-GB"/>
        </w:rPr>
        <w:t>. The fact that only 1.7% of the population who live in very low work intensity households, but do not experience severe material deprivation and risk of poverty and 12.4% experience the risk of poverty, but do not live in very low work intensity households and under severe material deprivation</w:t>
      </w:r>
      <w:r w:rsidRPr="002720C2">
        <w:rPr>
          <w:rStyle w:val="FootnoteReference"/>
          <w:sz w:val="22"/>
          <w:lang w:val="en-GB"/>
        </w:rPr>
        <w:footnoteReference w:id="12"/>
      </w:r>
      <w:r w:rsidRPr="002720C2">
        <w:rPr>
          <w:rFonts w:eastAsia="Times New Roman" w:cs="Times New Roman"/>
          <w:bCs/>
          <w:sz w:val="22"/>
          <w:lang w:val="en-GB"/>
        </w:rPr>
        <w:t xml:space="preserve"> shows that the problem of poverty and social exclusion is first of all related with insufficient income and low work intensity, due to which living conditions deteriorate</w:t>
      </w:r>
      <w:r w:rsidR="00014BB2" w:rsidRPr="002720C2">
        <w:rPr>
          <w:rFonts w:eastAsia="Times New Roman" w:cs="Times New Roman"/>
          <w:bCs/>
          <w:sz w:val="22"/>
          <w:lang w:val="en-GB"/>
        </w:rPr>
        <w:t xml:space="preserve">. </w:t>
      </w:r>
      <w:r w:rsidR="00B950B4" w:rsidRPr="002720C2">
        <w:rPr>
          <w:rFonts w:eastAsia="Times New Roman" w:cs="Times New Roman"/>
          <w:bCs/>
          <w:sz w:val="22"/>
          <w:lang w:val="en-GB"/>
        </w:rPr>
        <w:t xml:space="preserve"> </w:t>
      </w:r>
    </w:p>
    <w:p w:rsidR="00D40811" w:rsidRPr="002720C2" w:rsidRDefault="007436E1" w:rsidP="00F61D48">
      <w:pPr>
        <w:spacing w:before="100" w:beforeAutospacing="1" w:after="100" w:afterAutospacing="1"/>
        <w:ind w:left="357"/>
        <w:jc w:val="both"/>
        <w:rPr>
          <w:rFonts w:eastAsia="Times New Roman" w:cs="Times New Roman"/>
          <w:bCs/>
          <w:sz w:val="22"/>
          <w:lang w:val="en-GB"/>
        </w:rPr>
      </w:pPr>
      <w:r w:rsidRPr="002720C2">
        <w:rPr>
          <w:rFonts w:eastAsia="Times New Roman" w:cs="Times New Roman"/>
          <w:bCs/>
          <w:sz w:val="22"/>
          <w:lang w:val="en-GB"/>
        </w:rPr>
        <w:lastRenderedPageBreak/>
        <w:t>The main directions in reducing poverty and social exclusion stipulated in the National Reform Agenda are as follows: successful prevention of poverty and social exclusion, promotion of employment, healthcare policy promoting social security and health equity, and availability of cultural services</w:t>
      </w:r>
      <w:r w:rsidRPr="002720C2">
        <w:rPr>
          <w:rStyle w:val="FootnoteReference"/>
          <w:sz w:val="22"/>
          <w:lang w:val="en-GB"/>
        </w:rPr>
        <w:footnoteReference w:id="13"/>
      </w:r>
      <w:r w:rsidRPr="002720C2">
        <w:rPr>
          <w:rFonts w:eastAsia="Times New Roman" w:cs="Times New Roman"/>
          <w:bCs/>
          <w:sz w:val="22"/>
          <w:lang w:val="en-GB"/>
        </w:rPr>
        <w:t xml:space="preserve">. At </w:t>
      </w:r>
      <w:r w:rsidR="00267CE8">
        <w:rPr>
          <w:rFonts w:eastAsia="Times New Roman" w:cs="Times New Roman"/>
          <w:bCs/>
          <w:sz w:val="22"/>
          <w:lang w:val="en-GB"/>
        </w:rPr>
        <w:t>the end of 2013, the 2014–2020 Action P</w:t>
      </w:r>
      <w:r w:rsidRPr="002720C2">
        <w:rPr>
          <w:rFonts w:eastAsia="Times New Roman" w:cs="Times New Roman"/>
          <w:bCs/>
          <w:sz w:val="22"/>
          <w:lang w:val="en-GB"/>
        </w:rPr>
        <w:t>lan for Increasing Social Inclusion was adopted that sets out how the provisions of the national (National Reform Agenda, National Progress Programme and government programmes) and the EU strategic documents concerning poverty reduction and social inclusion will be implemented. The action plan identifies the following four key objectives</w:t>
      </w:r>
      <w:r w:rsidR="00B950B4" w:rsidRPr="002720C2">
        <w:rPr>
          <w:rFonts w:eastAsia="Times New Roman" w:cs="Times New Roman"/>
          <w:bCs/>
          <w:sz w:val="22"/>
          <w:lang w:val="en-GB"/>
        </w:rPr>
        <w:t xml:space="preserve">: </w:t>
      </w:r>
    </w:p>
    <w:p w:rsidR="00596FDB" w:rsidRPr="002720C2" w:rsidRDefault="00A853C5" w:rsidP="00F61D48">
      <w:pPr>
        <w:numPr>
          <w:ilvl w:val="0"/>
          <w:numId w:val="19"/>
        </w:numPr>
        <w:spacing w:before="100" w:beforeAutospacing="1" w:after="100" w:afterAutospacing="1"/>
        <w:jc w:val="both"/>
        <w:rPr>
          <w:rFonts w:eastAsia="Times New Roman" w:cs="Times New Roman"/>
          <w:bCs/>
          <w:sz w:val="22"/>
          <w:lang w:val="en-GB"/>
        </w:rPr>
      </w:pPr>
      <w:r w:rsidRPr="002720C2">
        <w:rPr>
          <w:rFonts w:eastAsia="Times New Roman" w:cs="Times New Roman"/>
          <w:bCs/>
          <w:sz w:val="22"/>
          <w:lang w:val="en-GB"/>
        </w:rPr>
        <w:t>to seek</w:t>
      </w:r>
      <w:r w:rsidR="00B950B4" w:rsidRPr="002720C2">
        <w:rPr>
          <w:rFonts w:eastAsia="Times New Roman" w:cs="Times New Roman"/>
          <w:bCs/>
          <w:sz w:val="22"/>
          <w:lang w:val="en-GB"/>
        </w:rPr>
        <w:t xml:space="preserve"> child and family welfare, to </w:t>
      </w:r>
      <w:r w:rsidRPr="002720C2">
        <w:rPr>
          <w:rFonts w:eastAsia="Times New Roman" w:cs="Times New Roman"/>
          <w:bCs/>
          <w:sz w:val="22"/>
          <w:lang w:val="en-GB"/>
        </w:rPr>
        <w:t>strengthen</w:t>
      </w:r>
      <w:r w:rsidR="00B950B4" w:rsidRPr="002720C2">
        <w:rPr>
          <w:rFonts w:eastAsia="Times New Roman" w:cs="Times New Roman"/>
          <w:bCs/>
          <w:sz w:val="22"/>
          <w:lang w:val="en-GB"/>
        </w:rPr>
        <w:t xml:space="preserve"> and protect public health</w:t>
      </w:r>
      <w:r w:rsidR="00596FDB" w:rsidRPr="002720C2">
        <w:rPr>
          <w:sz w:val="22"/>
          <w:lang w:val="en-GB" w:eastAsia="en-US"/>
        </w:rPr>
        <w:t>;</w:t>
      </w:r>
    </w:p>
    <w:p w:rsidR="00596FDB" w:rsidRPr="002720C2" w:rsidRDefault="00B950B4" w:rsidP="00F61D48">
      <w:pPr>
        <w:numPr>
          <w:ilvl w:val="0"/>
          <w:numId w:val="19"/>
        </w:numPr>
        <w:spacing w:before="100" w:beforeAutospacing="1" w:after="100" w:afterAutospacing="1"/>
        <w:jc w:val="both"/>
        <w:rPr>
          <w:rFonts w:eastAsia="Times New Roman" w:cs="Times New Roman"/>
          <w:bCs/>
          <w:sz w:val="22"/>
          <w:lang w:val="en-GB"/>
        </w:rPr>
      </w:pPr>
      <w:r w:rsidRPr="002720C2">
        <w:rPr>
          <w:rFonts w:eastAsia="Times New Roman" w:cs="Times New Roman"/>
          <w:bCs/>
          <w:sz w:val="22"/>
          <w:lang w:val="en-GB"/>
        </w:rPr>
        <w:t xml:space="preserve">to </w:t>
      </w:r>
      <w:r w:rsidR="00A853C5" w:rsidRPr="002720C2">
        <w:rPr>
          <w:rFonts w:eastAsia="Times New Roman" w:cs="Times New Roman"/>
          <w:bCs/>
          <w:sz w:val="22"/>
          <w:lang w:val="en-GB"/>
        </w:rPr>
        <w:t xml:space="preserve">increase incentives for </w:t>
      </w:r>
      <w:r w:rsidR="007436E1" w:rsidRPr="002720C2">
        <w:rPr>
          <w:rFonts w:eastAsia="Times New Roman" w:cs="Times New Roman"/>
          <w:bCs/>
          <w:sz w:val="22"/>
          <w:lang w:val="en-GB"/>
        </w:rPr>
        <w:t>those</w:t>
      </w:r>
      <w:r w:rsidR="00A853C5" w:rsidRPr="002720C2">
        <w:rPr>
          <w:rFonts w:eastAsia="Times New Roman" w:cs="Times New Roman"/>
          <w:bCs/>
          <w:sz w:val="22"/>
          <w:lang w:val="en-GB"/>
        </w:rPr>
        <w:t xml:space="preserve"> </w:t>
      </w:r>
      <w:r w:rsidRPr="002720C2">
        <w:rPr>
          <w:rFonts w:eastAsia="Times New Roman" w:cs="Times New Roman"/>
          <w:bCs/>
          <w:sz w:val="22"/>
          <w:lang w:val="en-GB"/>
        </w:rPr>
        <w:t>most distant from the labo</w:t>
      </w:r>
      <w:r w:rsidR="00A853C5" w:rsidRPr="002720C2">
        <w:rPr>
          <w:rFonts w:eastAsia="Times New Roman" w:cs="Times New Roman"/>
          <w:bCs/>
          <w:sz w:val="22"/>
          <w:lang w:val="en-GB"/>
        </w:rPr>
        <w:t xml:space="preserve">ur market </w:t>
      </w:r>
      <w:r w:rsidRPr="002720C2">
        <w:rPr>
          <w:rFonts w:eastAsia="Times New Roman" w:cs="Times New Roman"/>
          <w:bCs/>
          <w:sz w:val="22"/>
          <w:lang w:val="en-GB"/>
        </w:rPr>
        <w:t xml:space="preserve">and </w:t>
      </w:r>
      <w:r w:rsidR="00A853C5" w:rsidRPr="002720C2">
        <w:rPr>
          <w:rFonts w:eastAsia="Times New Roman" w:cs="Times New Roman"/>
          <w:bCs/>
          <w:sz w:val="22"/>
          <w:lang w:val="en-GB"/>
        </w:rPr>
        <w:t xml:space="preserve">their </w:t>
      </w:r>
      <w:r w:rsidRPr="002720C2">
        <w:rPr>
          <w:rFonts w:eastAsia="Times New Roman" w:cs="Times New Roman"/>
          <w:bCs/>
          <w:sz w:val="22"/>
          <w:lang w:val="en-GB"/>
        </w:rPr>
        <w:t xml:space="preserve">opportunities to participate in active </w:t>
      </w:r>
      <w:r w:rsidR="00A853C5" w:rsidRPr="002720C2">
        <w:rPr>
          <w:rFonts w:eastAsia="Times New Roman" w:cs="Times New Roman"/>
          <w:bCs/>
          <w:sz w:val="22"/>
          <w:lang w:val="en-GB"/>
        </w:rPr>
        <w:t xml:space="preserve">inclusion </w:t>
      </w:r>
      <w:r w:rsidRPr="002720C2">
        <w:rPr>
          <w:rFonts w:eastAsia="Times New Roman" w:cs="Times New Roman"/>
          <w:bCs/>
          <w:sz w:val="22"/>
          <w:lang w:val="en-GB"/>
        </w:rPr>
        <w:t>measures;</w:t>
      </w:r>
    </w:p>
    <w:p w:rsidR="00596FDB" w:rsidRPr="002720C2" w:rsidRDefault="000705A8" w:rsidP="00F61D48">
      <w:pPr>
        <w:numPr>
          <w:ilvl w:val="0"/>
          <w:numId w:val="19"/>
        </w:numPr>
        <w:spacing w:before="100" w:beforeAutospacing="1" w:after="100" w:afterAutospacing="1"/>
        <w:jc w:val="both"/>
        <w:rPr>
          <w:rFonts w:eastAsia="Times New Roman" w:cs="Times New Roman"/>
          <w:bCs/>
          <w:sz w:val="22"/>
          <w:lang w:val="en-GB"/>
        </w:rPr>
      </w:pPr>
      <w:r w:rsidRPr="002720C2">
        <w:rPr>
          <w:rFonts w:eastAsia="Times New Roman" w:cs="Times New Roman"/>
          <w:bCs/>
          <w:sz w:val="22"/>
          <w:lang w:val="en-GB"/>
        </w:rPr>
        <w:t xml:space="preserve">to ensure </w:t>
      </w:r>
      <w:r w:rsidR="00CB25F0" w:rsidRPr="002720C2">
        <w:rPr>
          <w:rFonts w:eastAsia="Times New Roman" w:cs="Times New Roman"/>
          <w:bCs/>
          <w:sz w:val="22"/>
          <w:lang w:val="en-GB"/>
        </w:rPr>
        <w:t xml:space="preserve">financial </w:t>
      </w:r>
      <w:r w:rsidRPr="002720C2">
        <w:rPr>
          <w:rFonts w:eastAsia="Times New Roman" w:cs="Times New Roman"/>
          <w:bCs/>
          <w:sz w:val="22"/>
          <w:lang w:val="en-GB"/>
        </w:rPr>
        <w:t>stability of the income protection system of the population</w:t>
      </w:r>
      <w:r w:rsidR="00B950B4" w:rsidRPr="002720C2">
        <w:rPr>
          <w:rFonts w:eastAsia="Times New Roman" w:cs="Times New Roman"/>
          <w:bCs/>
          <w:sz w:val="22"/>
          <w:lang w:val="en-GB"/>
        </w:rPr>
        <w:t>;</w:t>
      </w:r>
    </w:p>
    <w:p w:rsidR="00767E0C" w:rsidRPr="002720C2" w:rsidRDefault="00CB25F0" w:rsidP="00F61D48">
      <w:pPr>
        <w:numPr>
          <w:ilvl w:val="0"/>
          <w:numId w:val="19"/>
        </w:numPr>
        <w:spacing w:before="100" w:beforeAutospacing="1" w:after="100" w:afterAutospacing="1"/>
        <w:jc w:val="both"/>
        <w:rPr>
          <w:rFonts w:eastAsia="Times New Roman" w:cs="Times New Roman"/>
          <w:bCs/>
          <w:sz w:val="22"/>
          <w:lang w:val="en-GB"/>
        </w:rPr>
      </w:pPr>
      <w:r w:rsidRPr="002720C2">
        <w:rPr>
          <w:rFonts w:eastAsia="Times New Roman" w:cs="Times New Roman"/>
          <w:bCs/>
          <w:sz w:val="22"/>
          <w:lang w:val="en-GB"/>
        </w:rPr>
        <w:t xml:space="preserve">to </w:t>
      </w:r>
      <w:r w:rsidR="00B950B4" w:rsidRPr="002720C2">
        <w:rPr>
          <w:rFonts w:eastAsia="Times New Roman" w:cs="Times New Roman"/>
          <w:bCs/>
          <w:sz w:val="22"/>
          <w:lang w:val="en-GB"/>
        </w:rPr>
        <w:t xml:space="preserve">improve the </w:t>
      </w:r>
      <w:r w:rsidRPr="002720C2">
        <w:rPr>
          <w:rFonts w:eastAsia="Times New Roman" w:cs="Times New Roman"/>
          <w:bCs/>
          <w:sz w:val="22"/>
          <w:lang w:val="en-GB"/>
        </w:rPr>
        <w:t xml:space="preserve">quality of the </w:t>
      </w:r>
      <w:r w:rsidR="00B950B4" w:rsidRPr="002720C2">
        <w:rPr>
          <w:rFonts w:eastAsia="Times New Roman" w:cs="Times New Roman"/>
          <w:bCs/>
          <w:sz w:val="22"/>
          <w:lang w:val="en-GB"/>
        </w:rPr>
        <w:t xml:space="preserve">living environment and </w:t>
      </w:r>
      <w:r w:rsidRPr="002720C2">
        <w:rPr>
          <w:rFonts w:eastAsia="Times New Roman" w:cs="Times New Roman"/>
          <w:bCs/>
          <w:sz w:val="22"/>
          <w:lang w:val="en-GB"/>
        </w:rPr>
        <w:t>increase</w:t>
      </w:r>
      <w:r w:rsidR="00B950B4" w:rsidRPr="002720C2">
        <w:rPr>
          <w:rFonts w:eastAsia="Times New Roman" w:cs="Times New Roman"/>
          <w:bCs/>
          <w:sz w:val="22"/>
          <w:lang w:val="en-GB"/>
        </w:rPr>
        <w:t xml:space="preserve"> </w:t>
      </w:r>
      <w:r w:rsidRPr="002720C2">
        <w:rPr>
          <w:rFonts w:eastAsia="Times New Roman" w:cs="Times New Roman"/>
          <w:bCs/>
          <w:sz w:val="22"/>
          <w:lang w:val="en-GB"/>
        </w:rPr>
        <w:t xml:space="preserve">accessibility </w:t>
      </w:r>
      <w:r w:rsidR="00CC357E" w:rsidRPr="002720C2">
        <w:rPr>
          <w:rFonts w:eastAsia="Times New Roman" w:cs="Times New Roman"/>
          <w:bCs/>
          <w:sz w:val="22"/>
          <w:lang w:val="en-GB"/>
        </w:rPr>
        <w:t>to</w:t>
      </w:r>
      <w:r w:rsidRPr="002720C2">
        <w:rPr>
          <w:rFonts w:eastAsia="Times New Roman" w:cs="Times New Roman"/>
          <w:bCs/>
          <w:sz w:val="22"/>
          <w:lang w:val="en-GB"/>
        </w:rPr>
        <w:t xml:space="preserve"> public services</w:t>
      </w:r>
      <w:r w:rsidR="00596FDB" w:rsidRPr="002720C2">
        <w:rPr>
          <w:rFonts w:cs="TimesNewRoman"/>
          <w:sz w:val="22"/>
          <w:lang w:val="en-GB" w:eastAsia="en-US"/>
        </w:rPr>
        <w:t>.</w:t>
      </w:r>
    </w:p>
    <w:p w:rsidR="009B7A4D" w:rsidRPr="002720C2" w:rsidRDefault="00B63138" w:rsidP="00F61D48">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Within the context of EU and national strategic objectives and interv</w:t>
      </w:r>
      <w:r w:rsidR="00267CE8">
        <w:rPr>
          <w:rFonts w:eastAsia="Times New Roman" w:cs="Times New Roman"/>
          <w:bCs/>
          <w:sz w:val="22"/>
          <w:lang w:val="en-GB"/>
        </w:rPr>
        <w:t>entions, the Fund for European Aid to the Most D</w:t>
      </w:r>
      <w:r w:rsidRPr="002720C2">
        <w:rPr>
          <w:rFonts w:eastAsia="Times New Roman" w:cs="Times New Roman"/>
          <w:bCs/>
          <w:sz w:val="22"/>
          <w:lang w:val="en-GB"/>
        </w:rPr>
        <w:t>eprived supports aid that would help raise people out of extreme poverty, satisfy their basic needs and create pre</w:t>
      </w:r>
      <w:r w:rsidR="00267CE8">
        <w:rPr>
          <w:rFonts w:eastAsia="Times New Roman" w:cs="Times New Roman"/>
          <w:bCs/>
          <w:sz w:val="22"/>
          <w:lang w:val="en-GB"/>
        </w:rPr>
        <w:t>conditions</w:t>
      </w:r>
      <w:r w:rsidRPr="002720C2">
        <w:rPr>
          <w:rFonts w:eastAsia="Times New Roman" w:cs="Times New Roman"/>
          <w:bCs/>
          <w:sz w:val="22"/>
          <w:lang w:val="en-GB"/>
        </w:rPr>
        <w:t xml:space="preserve"> for their easier involvement in the employment and social inclusion promotion activities. Thus the activities </w:t>
      </w:r>
      <w:r w:rsidR="00267CE8" w:rsidRPr="002720C2">
        <w:rPr>
          <w:rFonts w:eastAsia="Times New Roman" w:cs="Times New Roman"/>
          <w:bCs/>
          <w:sz w:val="22"/>
          <w:lang w:val="en-GB"/>
        </w:rPr>
        <w:t>(distribution of food and hygiene goods)</w:t>
      </w:r>
      <w:r w:rsidR="00267CE8">
        <w:rPr>
          <w:rFonts w:eastAsia="Times New Roman" w:cs="Times New Roman"/>
          <w:bCs/>
          <w:sz w:val="22"/>
          <w:lang w:val="en-GB"/>
        </w:rPr>
        <w:t xml:space="preserve"> </w:t>
      </w:r>
      <w:r w:rsidRPr="002720C2">
        <w:rPr>
          <w:rFonts w:eastAsia="Times New Roman" w:cs="Times New Roman"/>
          <w:bCs/>
          <w:sz w:val="22"/>
          <w:lang w:val="en-GB"/>
        </w:rPr>
        <w:t xml:space="preserve">planned in the </w:t>
      </w:r>
      <w:r w:rsidR="00267CE8">
        <w:rPr>
          <w:rFonts w:eastAsia="Times New Roman" w:cs="Times New Roman"/>
          <w:bCs/>
          <w:sz w:val="22"/>
          <w:lang w:val="en-GB"/>
        </w:rPr>
        <w:t xml:space="preserve">Fund’s </w:t>
      </w:r>
      <w:r w:rsidR="008623F4">
        <w:rPr>
          <w:rFonts w:eastAsia="Times New Roman" w:cs="Times New Roman"/>
          <w:bCs/>
          <w:sz w:val="22"/>
          <w:lang w:val="en-GB"/>
        </w:rPr>
        <w:t>2014–2020 draft Operational P</w:t>
      </w:r>
      <w:r w:rsidRPr="002720C2">
        <w:rPr>
          <w:rFonts w:eastAsia="Times New Roman" w:cs="Times New Roman"/>
          <w:bCs/>
          <w:sz w:val="22"/>
          <w:lang w:val="en-GB"/>
        </w:rPr>
        <w:t xml:space="preserve">rogramme is only one of a number of measures aimed at poverty reduction. Given the fact that jobless households, single parents and rural inhabitants are most frequently at risk of poverty, the promotion of employment and social inclusion, increasing accessibility to public services, and also effective social cash </w:t>
      </w:r>
      <w:r w:rsidR="004E1D9C" w:rsidRPr="002720C2">
        <w:rPr>
          <w:rFonts w:eastAsia="Times New Roman" w:cs="Times New Roman"/>
          <w:bCs/>
          <w:sz w:val="22"/>
          <w:lang w:val="en-GB"/>
        </w:rPr>
        <w:t>assistance</w:t>
      </w:r>
      <w:r w:rsidRPr="002720C2">
        <w:rPr>
          <w:rFonts w:eastAsia="Times New Roman" w:cs="Times New Roman"/>
          <w:bCs/>
          <w:sz w:val="22"/>
          <w:lang w:val="en-GB"/>
        </w:rPr>
        <w:t xml:space="preserve"> system have the greatest potential in the implementation of the strategic objectives for poverty reduction. These areas are in line with the challenges laid down in the EU Council draft recommendations prepared by the European Commission for Lithuania</w:t>
      </w:r>
      <w:r w:rsidRPr="002720C2">
        <w:rPr>
          <w:rStyle w:val="FootnoteReference"/>
          <w:sz w:val="22"/>
          <w:lang w:val="en-GB"/>
        </w:rPr>
        <w:footnoteReference w:id="14"/>
      </w:r>
      <w:r w:rsidRPr="002720C2">
        <w:rPr>
          <w:rFonts w:eastAsia="Times New Roman" w:cs="Times New Roman"/>
          <w:bCs/>
          <w:sz w:val="22"/>
          <w:lang w:val="en-GB"/>
        </w:rPr>
        <w:t xml:space="preserve">. Non-financial support provided by the Fund may only indirectly affect the indicator of the severe material deprivation by reducing the number of households who cannot afford to </w:t>
      </w:r>
      <w:r w:rsidRPr="002720C2">
        <w:rPr>
          <w:sz w:val="22"/>
          <w:lang w:val="en-GB"/>
        </w:rPr>
        <w:t>eat meat, fish or a protein equivalent every second day</w:t>
      </w:r>
      <w:r w:rsidRPr="002720C2">
        <w:rPr>
          <w:rFonts w:eastAsia="Times New Roman" w:cs="Times New Roman"/>
          <w:bCs/>
          <w:sz w:val="22"/>
          <w:lang w:val="en-GB"/>
        </w:rPr>
        <w:t xml:space="preserve"> or allowing people to use funds saved at the expense of the received non-financial support for other needs</w:t>
      </w:r>
      <w:r w:rsidR="00B950B4" w:rsidRPr="002720C2">
        <w:rPr>
          <w:rFonts w:eastAsia="Times New Roman" w:cs="Times New Roman"/>
          <w:bCs/>
          <w:sz w:val="22"/>
          <w:lang w:val="en-GB"/>
        </w:rPr>
        <w:t xml:space="preserve">. </w:t>
      </w:r>
    </w:p>
    <w:tbl>
      <w:tblPr>
        <w:tblStyle w:val="VPVILentele1"/>
        <w:tblW w:w="0" w:type="auto"/>
        <w:tblInd w:w="534" w:type="dxa"/>
        <w:tblLook w:val="04A0" w:firstRow="1" w:lastRow="0" w:firstColumn="1" w:lastColumn="0" w:noHBand="0" w:noVBand="1"/>
      </w:tblPr>
      <w:tblGrid>
        <w:gridCol w:w="9768"/>
      </w:tblGrid>
      <w:tr w:rsidR="006864BC" w:rsidRPr="002720C2" w:rsidTr="00440F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68" w:type="dxa"/>
          </w:tcPr>
          <w:p w:rsidR="006864BC" w:rsidRPr="002720C2" w:rsidRDefault="0020069D" w:rsidP="00911A78">
            <w:pPr>
              <w:jc w:val="both"/>
              <w:rPr>
                <w:lang w:val="en-GB"/>
              </w:rPr>
            </w:pPr>
            <w:r w:rsidRPr="002720C2">
              <w:rPr>
                <w:lang w:val="en-GB"/>
              </w:rPr>
              <w:t>Taken into account</w:t>
            </w:r>
          </w:p>
        </w:tc>
      </w:tr>
      <w:tr w:rsidR="006864BC" w:rsidRPr="002720C2" w:rsidTr="00440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8" w:type="dxa"/>
          </w:tcPr>
          <w:p w:rsidR="00814E17" w:rsidRPr="002720C2" w:rsidRDefault="00B950B4" w:rsidP="009E03E7">
            <w:pPr>
              <w:jc w:val="both"/>
              <w:rPr>
                <w:rFonts w:eastAsia="Times New Roman" w:cs="Times New Roman"/>
                <w:bCs/>
                <w:sz w:val="22"/>
                <w:lang w:val="en-GB"/>
              </w:rPr>
            </w:pPr>
            <w:r w:rsidRPr="002720C2">
              <w:rPr>
                <w:rFonts w:eastAsia="Times New Roman" w:cs="Times New Roman"/>
                <w:b/>
                <w:sz w:val="22"/>
                <w:lang w:val="en-GB"/>
              </w:rPr>
              <w:t>Recommendation 1.</w:t>
            </w:r>
            <w:r w:rsidRPr="002720C2">
              <w:rPr>
                <w:rFonts w:eastAsia="Times New Roman" w:cs="Times New Roman"/>
                <w:bCs/>
                <w:sz w:val="22"/>
                <w:lang w:val="en-GB"/>
              </w:rPr>
              <w:t xml:space="preserve"> </w:t>
            </w:r>
            <w:r w:rsidR="008E6DCA" w:rsidRPr="002720C2">
              <w:rPr>
                <w:rFonts w:eastAsia="Times New Roman" w:cs="Times New Roman"/>
                <w:bCs/>
                <w:sz w:val="22"/>
                <w:lang w:val="en-GB"/>
              </w:rPr>
              <w:t xml:space="preserve">Describing the current situation within the OP context it is important to emphasise that activities </w:t>
            </w:r>
            <w:r w:rsidR="009E03E7" w:rsidRPr="002720C2">
              <w:rPr>
                <w:rFonts w:eastAsia="Times New Roman" w:cs="Times New Roman"/>
                <w:bCs/>
                <w:sz w:val="22"/>
                <w:lang w:val="en-GB"/>
              </w:rPr>
              <w:t>for promotion of employment and social inclusion, increasing accessibility to public services, and also effective social cash assistance system</w:t>
            </w:r>
            <w:r w:rsidR="009E03E7">
              <w:rPr>
                <w:rFonts w:eastAsia="Times New Roman" w:cs="Times New Roman"/>
                <w:bCs/>
                <w:sz w:val="22"/>
                <w:lang w:val="en-GB"/>
              </w:rPr>
              <w:t>,</w:t>
            </w:r>
            <w:r w:rsidR="009E03E7" w:rsidRPr="002720C2">
              <w:rPr>
                <w:rFonts w:eastAsia="Times New Roman" w:cs="Times New Roman"/>
                <w:bCs/>
                <w:sz w:val="22"/>
                <w:lang w:val="en-GB"/>
              </w:rPr>
              <w:t xml:space="preserve"> </w:t>
            </w:r>
            <w:r w:rsidR="008E6DCA" w:rsidRPr="002720C2">
              <w:rPr>
                <w:rFonts w:eastAsia="Times New Roman" w:cs="Times New Roman"/>
                <w:bCs/>
                <w:sz w:val="22"/>
                <w:lang w:val="en-GB"/>
              </w:rPr>
              <w:t xml:space="preserve">financed from other sources (EU and national) will have the greatest effect in achieving </w:t>
            </w:r>
            <w:r w:rsidR="008E6DCA" w:rsidRPr="002720C2">
              <w:rPr>
                <w:rFonts w:asciiTheme="minorHAnsi" w:eastAsia="Times New Roman" w:hAnsiTheme="minorHAnsi" w:cs="Times New Roman"/>
                <w:sz w:val="22"/>
                <w:lang w:val="en-GB"/>
              </w:rPr>
              <w:t>the Europe 2020 strategy’s objective of reducing the number of people in or at risk of poverty</w:t>
            </w:r>
            <w:r w:rsidR="008E6DCA" w:rsidRPr="002720C2">
              <w:rPr>
                <w:rFonts w:eastAsia="Times New Roman" w:cs="Times New Roman"/>
                <w:bCs/>
                <w:sz w:val="22"/>
                <w:lang w:val="en-GB"/>
              </w:rPr>
              <w:t xml:space="preserve"> and social </w:t>
            </w:r>
            <w:r w:rsidR="00EA721B">
              <w:rPr>
                <w:rFonts w:eastAsia="Times New Roman" w:cs="Times New Roman"/>
                <w:bCs/>
                <w:sz w:val="22"/>
                <w:lang w:val="en-GB"/>
              </w:rPr>
              <w:t>exclusion</w:t>
            </w:r>
            <w:r w:rsidR="008E6DCA" w:rsidRPr="002720C2">
              <w:rPr>
                <w:rFonts w:eastAsia="Times New Roman" w:cs="Times New Roman"/>
                <w:bCs/>
                <w:sz w:val="22"/>
                <w:lang w:val="en-GB"/>
              </w:rPr>
              <w:t>. Non-financial support provided by the Fund may only indirectly improve the living conditions of people who experience severe material deprivation by reducing their costs for food and/or basic consumer goods or improving the nutritional value of the products they use</w:t>
            </w:r>
            <w:r w:rsidRPr="002720C2">
              <w:rPr>
                <w:rFonts w:eastAsia="Times New Roman" w:cs="Times New Roman"/>
                <w:bCs/>
                <w:sz w:val="22"/>
                <w:lang w:val="en-GB"/>
              </w:rPr>
              <w:t>.</w:t>
            </w:r>
          </w:p>
        </w:tc>
      </w:tr>
    </w:tbl>
    <w:p w:rsidR="00767E0C" w:rsidRPr="002720C2" w:rsidRDefault="00BE0CCB" w:rsidP="00767E0C">
      <w:pPr>
        <w:numPr>
          <w:ilvl w:val="0"/>
          <w:numId w:val="21"/>
        </w:numPr>
        <w:spacing w:before="100" w:beforeAutospacing="1" w:after="100" w:afterAutospacing="1" w:line="240" w:lineRule="auto"/>
        <w:jc w:val="both"/>
        <w:rPr>
          <w:rFonts w:eastAsia="Times New Roman" w:cs="Times New Roman"/>
          <w:bCs/>
          <w:color w:val="036575"/>
          <w:szCs w:val="24"/>
          <w:lang w:val="en-GB"/>
        </w:rPr>
      </w:pPr>
      <w:r w:rsidRPr="002720C2">
        <w:rPr>
          <w:rFonts w:asciiTheme="majorHAnsi" w:eastAsia="Times New Roman" w:hAnsiTheme="majorHAnsi"/>
          <w:bCs/>
          <w:color w:val="036575"/>
          <w:szCs w:val="24"/>
          <w:lang w:val="en-GB"/>
        </w:rPr>
        <w:lastRenderedPageBreak/>
        <w:t>Is the rationale behind the draft operational programme clear and consistent? Are the types of material deprivation identified in the draft operational programme suitable</w:t>
      </w:r>
      <w:r w:rsidR="00B950B4" w:rsidRPr="002720C2">
        <w:rPr>
          <w:rFonts w:eastAsia="Times New Roman" w:cs="Times New Roman"/>
          <w:bCs/>
          <w:color w:val="036575"/>
          <w:szCs w:val="24"/>
          <w:lang w:val="en-GB"/>
        </w:rPr>
        <w:t>?</w:t>
      </w:r>
      <w:r w:rsidR="00767E0C" w:rsidRPr="002720C2">
        <w:rPr>
          <w:rFonts w:asciiTheme="majorHAnsi" w:hAnsiTheme="majorHAnsi"/>
          <w:color w:val="036575"/>
          <w:szCs w:val="24"/>
          <w:lang w:val="en-GB"/>
        </w:rPr>
        <w:t xml:space="preserve"> </w:t>
      </w:r>
    </w:p>
    <w:p w:rsidR="00F747F8" w:rsidRPr="002720C2" w:rsidRDefault="005D4E24" w:rsidP="008623F4">
      <w:pPr>
        <w:spacing w:before="100" w:beforeAutospacing="1" w:after="100" w:afterAutospacing="1"/>
        <w:ind w:left="357"/>
        <w:jc w:val="both"/>
        <w:rPr>
          <w:rFonts w:eastAsia="Times New Roman" w:cs="Times New Roman"/>
          <w:bCs/>
          <w:sz w:val="22"/>
          <w:lang w:val="en-GB"/>
        </w:rPr>
      </w:pPr>
      <w:r w:rsidRPr="002720C2">
        <w:rPr>
          <w:sz w:val="22"/>
          <w:lang w:val="en-GB"/>
        </w:rPr>
        <w:t>The Fund for European Aid to the Most Deprived</w:t>
      </w:r>
      <w:r w:rsidRPr="002720C2">
        <w:rPr>
          <w:rFonts w:asciiTheme="minorHAnsi" w:eastAsia="Times New Roman" w:hAnsiTheme="minorHAnsi" w:cs="Times New Roman"/>
          <w:sz w:val="22"/>
          <w:lang w:val="en-GB"/>
        </w:rPr>
        <w:t xml:space="preserve"> </w:t>
      </w:r>
      <w:r w:rsidR="00EB70C6">
        <w:rPr>
          <w:rFonts w:asciiTheme="minorHAnsi" w:eastAsia="Times New Roman" w:hAnsiTheme="minorHAnsi" w:cs="Times New Roman"/>
          <w:sz w:val="22"/>
          <w:lang w:val="en-GB"/>
        </w:rPr>
        <w:t xml:space="preserve">under OP </w:t>
      </w:r>
      <w:r w:rsidR="00EB70C6" w:rsidRPr="002720C2">
        <w:rPr>
          <w:rFonts w:asciiTheme="minorHAnsi" w:eastAsia="Times New Roman" w:hAnsiTheme="minorHAnsi" w:cs="Times New Roman"/>
          <w:sz w:val="22"/>
          <w:lang w:val="en-GB"/>
        </w:rPr>
        <w:t xml:space="preserve">I </w:t>
      </w:r>
      <w:r w:rsidR="00EB70C6">
        <w:rPr>
          <w:rFonts w:asciiTheme="minorHAnsi" w:eastAsia="Times New Roman" w:hAnsiTheme="minorHAnsi" w:cs="Times New Roman"/>
          <w:sz w:val="22"/>
          <w:lang w:val="en-GB"/>
        </w:rPr>
        <w:t xml:space="preserve">type of programmes </w:t>
      </w:r>
      <w:r w:rsidRPr="002720C2">
        <w:rPr>
          <w:rFonts w:asciiTheme="minorHAnsi" w:eastAsia="Times New Roman" w:hAnsiTheme="minorHAnsi" w:cs="Times New Roman"/>
          <w:sz w:val="22"/>
          <w:lang w:val="en-GB"/>
        </w:rPr>
        <w:t xml:space="preserve">supports </w:t>
      </w:r>
      <w:r w:rsidRPr="002720C2">
        <w:rPr>
          <w:rFonts w:eastAsia="Times New Roman" w:cs="Times New Roman"/>
          <w:bCs/>
          <w:sz w:val="22"/>
          <w:lang w:val="en-GB"/>
        </w:rPr>
        <w:t xml:space="preserve">food and material assistance (basic consumer goods) to the most deprived persons and the accompanying measures (e.g. </w:t>
      </w:r>
      <w:r w:rsidRPr="002720C2">
        <w:rPr>
          <w:sz w:val="22"/>
          <w:lang w:val="en-GB"/>
        </w:rPr>
        <w:t>guidance on a balanced diet and budget management advice</w:t>
      </w:r>
      <w:r w:rsidRPr="002720C2">
        <w:rPr>
          <w:rFonts w:eastAsia="Times New Roman" w:cs="Times New Roman"/>
          <w:bCs/>
          <w:sz w:val="22"/>
          <w:lang w:val="en-GB"/>
        </w:rPr>
        <w:t xml:space="preserve">). The Fund may also </w:t>
      </w:r>
      <w:r w:rsidRPr="002720C2">
        <w:rPr>
          <w:sz w:val="22"/>
          <w:lang w:val="en-GB"/>
        </w:rPr>
        <w:t>support activities related to the collection, transport, storage and distribution of food donations</w:t>
      </w:r>
      <w:r w:rsidRPr="002720C2">
        <w:rPr>
          <w:rFonts w:eastAsia="Times New Roman" w:cs="Times New Roman"/>
          <w:bCs/>
          <w:sz w:val="22"/>
          <w:lang w:val="en-GB"/>
        </w:rPr>
        <w:t xml:space="preserve">. Given the fact that the majority of the people living below the poverty </w:t>
      </w:r>
      <w:r w:rsidR="00EB70C6">
        <w:rPr>
          <w:rFonts w:eastAsia="Times New Roman" w:cs="Times New Roman"/>
          <w:bCs/>
          <w:sz w:val="22"/>
          <w:lang w:val="en-GB"/>
        </w:rPr>
        <w:t>threshold</w:t>
      </w:r>
      <w:r w:rsidRPr="002720C2">
        <w:rPr>
          <w:rFonts w:eastAsia="Times New Roman" w:cs="Times New Roman"/>
          <w:bCs/>
          <w:sz w:val="22"/>
          <w:lang w:val="en-GB"/>
        </w:rPr>
        <w:t xml:space="preserve"> face the problem of severe material deprivation, the activities to be financed by the Fund specified in the </w:t>
      </w:r>
      <w:r w:rsidR="00EB70C6">
        <w:rPr>
          <w:rFonts w:eastAsia="Times New Roman" w:cs="Times New Roman"/>
          <w:bCs/>
          <w:sz w:val="22"/>
          <w:lang w:val="en-GB"/>
        </w:rPr>
        <w:t xml:space="preserve">draft </w:t>
      </w:r>
      <w:r w:rsidR="008623F4">
        <w:rPr>
          <w:rFonts w:eastAsia="Times New Roman" w:cs="Times New Roman"/>
          <w:bCs/>
          <w:sz w:val="22"/>
          <w:lang w:val="en-GB"/>
        </w:rPr>
        <w:t>Operational P</w:t>
      </w:r>
      <w:r w:rsidRPr="002720C2">
        <w:rPr>
          <w:rFonts w:eastAsia="Times New Roman" w:cs="Times New Roman"/>
          <w:bCs/>
          <w:sz w:val="22"/>
          <w:lang w:val="en-GB"/>
        </w:rPr>
        <w:t xml:space="preserve">rogramme – food and basic consumer goods (hygiene goods) </w:t>
      </w:r>
      <w:r w:rsidR="00F55E20" w:rsidRPr="002720C2">
        <w:rPr>
          <w:rFonts w:eastAsia="Times New Roman" w:cs="Times New Roman"/>
          <w:bCs/>
          <w:sz w:val="22"/>
          <w:lang w:val="en-GB"/>
        </w:rPr>
        <w:t>assistance</w:t>
      </w:r>
      <w:r w:rsidRPr="002720C2">
        <w:rPr>
          <w:rFonts w:eastAsia="Times New Roman" w:cs="Times New Roman"/>
          <w:bCs/>
          <w:sz w:val="22"/>
          <w:lang w:val="en-GB"/>
        </w:rPr>
        <w:t xml:space="preserve"> – correspond to the problems identified in the situation analysis and partially contribute to the main strategic goal of reducing poverty and social exclusion</w:t>
      </w:r>
      <w:r w:rsidR="00B950B4" w:rsidRPr="002720C2">
        <w:rPr>
          <w:rFonts w:eastAsia="Times New Roman" w:cs="Times New Roman"/>
          <w:bCs/>
          <w:sz w:val="22"/>
          <w:lang w:val="en-GB"/>
        </w:rPr>
        <w:t xml:space="preserve">. </w:t>
      </w:r>
    </w:p>
    <w:p w:rsidR="002A70EA" w:rsidRPr="002720C2" w:rsidRDefault="005D4E24" w:rsidP="00096754">
      <w:pPr>
        <w:spacing w:before="100" w:beforeAutospacing="1" w:after="100" w:afterAutospacing="1"/>
        <w:ind w:left="357"/>
        <w:jc w:val="both"/>
        <w:rPr>
          <w:rFonts w:eastAsia="Times New Roman" w:cs="Times New Roman"/>
          <w:bCs/>
          <w:sz w:val="22"/>
          <w:lang w:val="en-GB"/>
        </w:rPr>
      </w:pPr>
      <w:r w:rsidRPr="002720C2">
        <w:rPr>
          <w:rFonts w:eastAsia="Times New Roman" w:cs="Times New Roman"/>
          <w:bCs/>
          <w:sz w:val="22"/>
          <w:lang w:val="en-GB"/>
        </w:rPr>
        <w:t xml:space="preserve">The data </w:t>
      </w:r>
      <w:r w:rsidR="00EB70C6">
        <w:rPr>
          <w:rFonts w:eastAsia="Times New Roman" w:cs="Times New Roman"/>
          <w:bCs/>
          <w:sz w:val="22"/>
          <w:lang w:val="en-GB"/>
        </w:rPr>
        <w:t>of</w:t>
      </w:r>
      <w:r w:rsidRPr="002720C2">
        <w:rPr>
          <w:rFonts w:eastAsia="Times New Roman" w:cs="Times New Roman"/>
          <w:bCs/>
          <w:sz w:val="22"/>
          <w:lang w:val="en-GB"/>
        </w:rPr>
        <w:t xml:space="preserve"> the implementation of </w:t>
      </w:r>
      <w:r w:rsidR="00EB70C6">
        <w:rPr>
          <w:rFonts w:eastAsia="Times New Roman" w:cs="Times New Roman"/>
          <w:bCs/>
          <w:sz w:val="22"/>
          <w:lang w:val="en-GB"/>
        </w:rPr>
        <w:t>the Food Distribution Programme from Intervention Stocks for the Most Deprived Persons</w:t>
      </w:r>
      <w:r w:rsidRPr="00A144B8">
        <w:rPr>
          <w:rFonts w:eastAsia="Times New Roman" w:cs="Times New Roman"/>
          <w:bCs/>
          <w:sz w:val="22"/>
          <w:lang w:val="en-GB"/>
        </w:rPr>
        <w:t xml:space="preserve"> in Lithuania in 2006–</w:t>
      </w:r>
      <w:r w:rsidRPr="002720C2">
        <w:rPr>
          <w:rFonts w:eastAsia="Times New Roman" w:cs="Times New Roman"/>
          <w:bCs/>
          <w:sz w:val="22"/>
          <w:lang w:val="en-GB"/>
        </w:rPr>
        <w:t xml:space="preserve">2013 show that the number of people </w:t>
      </w:r>
      <w:r w:rsidR="00EB70C6">
        <w:rPr>
          <w:rFonts w:eastAsia="Times New Roman" w:cs="Times New Roman"/>
          <w:bCs/>
          <w:sz w:val="22"/>
          <w:lang w:val="en-GB"/>
        </w:rPr>
        <w:t xml:space="preserve">facing severe material deprivation </w:t>
      </w:r>
      <w:r w:rsidRPr="002720C2">
        <w:rPr>
          <w:rFonts w:eastAsia="Times New Roman" w:cs="Times New Roman"/>
          <w:bCs/>
          <w:sz w:val="22"/>
          <w:lang w:val="en-GB"/>
        </w:rPr>
        <w:t>remains high, albeit it is slowly falling. In 2013, the number of people who received food aid ranged from 326</w:t>
      </w:r>
      <w:r w:rsidRPr="002720C2">
        <w:rPr>
          <w:rFonts w:eastAsia="Times New Roman" w:cs="Times New Roman"/>
          <w:w w:val="50"/>
          <w:sz w:val="22"/>
          <w:lang w:val="en-GB"/>
        </w:rPr>
        <w:t> </w:t>
      </w:r>
      <w:r w:rsidRPr="002720C2">
        <w:rPr>
          <w:rFonts w:eastAsia="Times New Roman" w:cs="Times New Roman"/>
          <w:bCs/>
          <w:sz w:val="22"/>
          <w:lang w:val="en-GB"/>
        </w:rPr>
        <w:t>000 at the beginning of the year to 390</w:t>
      </w:r>
      <w:r w:rsidRPr="002720C2">
        <w:rPr>
          <w:rStyle w:val="CommentReference"/>
          <w:w w:val="50"/>
          <w:lang w:val="en-GB"/>
        </w:rPr>
        <w:t> </w:t>
      </w:r>
      <w:r w:rsidRPr="002720C2">
        <w:rPr>
          <w:rFonts w:eastAsia="Times New Roman" w:cs="Times New Roman"/>
          <w:bCs/>
          <w:sz w:val="22"/>
          <w:lang w:val="en-GB"/>
        </w:rPr>
        <w:t>000 at the end of the year. Although the figure is smaller than in previous years, it is more than a third higher than in 2007–2008 before the onset of the economic crisis (see Table 3</w:t>
      </w:r>
      <w:r w:rsidR="00B950B4" w:rsidRPr="002720C2">
        <w:rPr>
          <w:rFonts w:eastAsia="Times New Roman" w:cs="Times New Roman"/>
          <w:bCs/>
          <w:sz w:val="22"/>
          <w:lang w:val="en-GB"/>
        </w:rPr>
        <w:t xml:space="preserve">). </w:t>
      </w:r>
    </w:p>
    <w:p w:rsidR="004F008B" w:rsidRPr="002720C2" w:rsidRDefault="006351FE" w:rsidP="00DC4D0A">
      <w:pPr>
        <w:ind w:left="357"/>
        <w:rPr>
          <w:rFonts w:eastAsia="Times New Roman" w:cs="Times New Roman"/>
          <w:b/>
          <w:bCs/>
          <w:sz w:val="22"/>
          <w:lang w:val="en-GB"/>
        </w:rPr>
      </w:pPr>
      <w:r w:rsidRPr="002720C2">
        <w:rPr>
          <w:rFonts w:eastAsia="Times New Roman" w:cs="Times New Roman"/>
          <w:b/>
          <w:bCs/>
          <w:sz w:val="22"/>
          <w:lang w:val="en-GB"/>
        </w:rPr>
        <w:t xml:space="preserve">Table </w:t>
      </w:r>
      <w:r w:rsidR="00535F73" w:rsidRPr="002720C2">
        <w:rPr>
          <w:b/>
          <w:sz w:val="22"/>
          <w:lang w:val="en-GB"/>
        </w:rPr>
        <w:fldChar w:fldCharType="begin"/>
      </w:r>
      <w:r w:rsidR="004F008B" w:rsidRPr="002720C2">
        <w:rPr>
          <w:b/>
          <w:sz w:val="22"/>
          <w:lang w:val="en-GB"/>
        </w:rPr>
        <w:instrText xml:space="preserve"> SEQ Table \* ARABIC </w:instrText>
      </w:r>
      <w:r w:rsidR="00535F73" w:rsidRPr="002720C2">
        <w:rPr>
          <w:b/>
          <w:sz w:val="22"/>
          <w:lang w:val="en-GB"/>
        </w:rPr>
        <w:fldChar w:fldCharType="separate"/>
      </w:r>
      <w:r w:rsidR="004F008B" w:rsidRPr="002720C2">
        <w:rPr>
          <w:b/>
          <w:sz w:val="22"/>
          <w:lang w:val="en-GB"/>
        </w:rPr>
        <w:t>3</w:t>
      </w:r>
      <w:r w:rsidR="00535F73" w:rsidRPr="002720C2">
        <w:rPr>
          <w:b/>
          <w:sz w:val="22"/>
          <w:lang w:val="en-GB"/>
        </w:rPr>
        <w:fldChar w:fldCharType="end"/>
      </w:r>
      <w:r w:rsidRPr="002720C2">
        <w:rPr>
          <w:rFonts w:eastAsia="Times New Roman" w:cs="Times New Roman"/>
          <w:b/>
          <w:bCs/>
          <w:sz w:val="22"/>
          <w:lang w:val="en-GB"/>
        </w:rPr>
        <w:t xml:space="preserve">. </w:t>
      </w:r>
      <w:r w:rsidR="00375835" w:rsidRPr="002720C2">
        <w:rPr>
          <w:rFonts w:eastAsia="Times New Roman" w:cs="Times New Roman"/>
          <w:b/>
          <w:bCs/>
          <w:sz w:val="22"/>
          <w:lang w:val="en-GB"/>
        </w:rPr>
        <w:t xml:space="preserve">Changes in the number of most deprived people in </w:t>
      </w:r>
      <w:r w:rsidRPr="002720C2">
        <w:rPr>
          <w:rFonts w:eastAsia="Times New Roman" w:cs="Times New Roman"/>
          <w:b/>
          <w:bCs/>
          <w:sz w:val="22"/>
          <w:lang w:val="en-GB"/>
        </w:rPr>
        <w:t>2006</w:t>
      </w:r>
      <w:r w:rsidR="00375835" w:rsidRPr="002720C2">
        <w:rPr>
          <w:rFonts w:eastAsia="Times New Roman" w:cs="Times New Roman"/>
          <w:b/>
          <w:bCs/>
          <w:sz w:val="22"/>
          <w:lang w:val="en-GB"/>
        </w:rPr>
        <w:t>–</w:t>
      </w:r>
      <w:r w:rsidRPr="002720C2">
        <w:rPr>
          <w:rFonts w:eastAsia="Times New Roman" w:cs="Times New Roman"/>
          <w:b/>
          <w:bCs/>
          <w:sz w:val="22"/>
          <w:lang w:val="en-GB"/>
        </w:rPr>
        <w:t>2013</w:t>
      </w:r>
    </w:p>
    <w:tbl>
      <w:tblPr>
        <w:tblW w:w="97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992"/>
        <w:gridCol w:w="1078"/>
        <w:gridCol w:w="1022"/>
        <w:gridCol w:w="1046"/>
        <w:gridCol w:w="989"/>
        <w:gridCol w:w="993"/>
        <w:gridCol w:w="1078"/>
        <w:gridCol w:w="1257"/>
      </w:tblGrid>
      <w:tr w:rsidR="006A5AFE" w:rsidRPr="002720C2" w:rsidTr="001A7A6C">
        <w:trPr>
          <w:trHeight w:val="315"/>
          <w:jc w:val="right"/>
        </w:trPr>
        <w:tc>
          <w:tcPr>
            <w:tcW w:w="1317" w:type="dxa"/>
            <w:vMerge w:val="restart"/>
            <w:shd w:val="clear" w:color="auto" w:fill="00505E"/>
            <w:vAlign w:val="center"/>
            <w:hideMark/>
          </w:tcPr>
          <w:p w:rsidR="006A5AFE" w:rsidRPr="002720C2" w:rsidRDefault="006A5AFE" w:rsidP="001A7A6C">
            <w:pPr>
              <w:spacing w:line="240" w:lineRule="auto"/>
              <w:contextualSpacing/>
              <w:rPr>
                <w:b/>
                <w:color w:val="FFFFFF"/>
                <w:sz w:val="20"/>
                <w:szCs w:val="20"/>
                <w:lang w:val="en-GB" w:eastAsia="en-US"/>
              </w:rPr>
            </w:pPr>
            <w:r w:rsidRPr="002720C2">
              <w:rPr>
                <w:b/>
                <w:color w:val="FFFFFF"/>
                <w:sz w:val="20"/>
                <w:szCs w:val="20"/>
                <w:lang w:val="en-GB" w:eastAsia="en-US"/>
              </w:rPr>
              <w:t>M</w:t>
            </w:r>
            <w:r w:rsidR="00096754" w:rsidRPr="002720C2">
              <w:rPr>
                <w:b/>
                <w:color w:val="FFFFFF"/>
                <w:sz w:val="20"/>
                <w:szCs w:val="20"/>
                <w:lang w:val="en-GB" w:eastAsia="en-US"/>
              </w:rPr>
              <w:t>onth</w:t>
            </w:r>
          </w:p>
        </w:tc>
        <w:tc>
          <w:tcPr>
            <w:tcW w:w="8455" w:type="dxa"/>
            <w:gridSpan w:val="8"/>
            <w:shd w:val="clear" w:color="auto" w:fill="00505E"/>
            <w:vAlign w:val="center"/>
            <w:hideMark/>
          </w:tcPr>
          <w:p w:rsidR="006A5AFE" w:rsidRPr="002720C2" w:rsidRDefault="00096754" w:rsidP="001A7A6C">
            <w:pPr>
              <w:spacing w:line="240" w:lineRule="auto"/>
              <w:contextualSpacing/>
              <w:jc w:val="center"/>
              <w:rPr>
                <w:b/>
                <w:color w:val="FFFFFF"/>
                <w:sz w:val="20"/>
                <w:szCs w:val="20"/>
                <w:lang w:val="en-GB" w:eastAsia="en-US"/>
              </w:rPr>
            </w:pPr>
            <w:r w:rsidRPr="002720C2">
              <w:rPr>
                <w:b/>
                <w:color w:val="FFFFFF"/>
                <w:sz w:val="20"/>
                <w:szCs w:val="20"/>
                <w:lang w:val="en-GB" w:eastAsia="en-US"/>
              </w:rPr>
              <w:t>Year</w:t>
            </w:r>
          </w:p>
        </w:tc>
      </w:tr>
      <w:tr w:rsidR="006A5AFE" w:rsidRPr="002720C2" w:rsidTr="001A7A6C">
        <w:trPr>
          <w:trHeight w:val="330"/>
          <w:jc w:val="right"/>
        </w:trPr>
        <w:tc>
          <w:tcPr>
            <w:tcW w:w="1317" w:type="dxa"/>
            <w:vMerge/>
            <w:shd w:val="clear" w:color="auto" w:fill="F6E2A3"/>
            <w:vAlign w:val="center"/>
            <w:hideMark/>
          </w:tcPr>
          <w:p w:rsidR="006A5AFE" w:rsidRPr="002720C2" w:rsidRDefault="006A5AFE" w:rsidP="001A7A6C">
            <w:pPr>
              <w:spacing w:line="240" w:lineRule="auto"/>
              <w:contextualSpacing/>
              <w:jc w:val="center"/>
              <w:rPr>
                <w:color w:val="000000"/>
                <w:sz w:val="20"/>
                <w:szCs w:val="20"/>
                <w:lang w:val="en-GB" w:eastAsia="en-US"/>
              </w:rPr>
            </w:pPr>
          </w:p>
        </w:tc>
        <w:tc>
          <w:tcPr>
            <w:tcW w:w="992" w:type="dxa"/>
            <w:shd w:val="clear" w:color="auto" w:fill="F6E2A3"/>
            <w:noWrap/>
            <w:vAlign w:val="center"/>
            <w:hideMark/>
          </w:tcPr>
          <w:p w:rsidR="006A5AFE" w:rsidRPr="002720C2" w:rsidRDefault="006A5AFE" w:rsidP="001A7A6C">
            <w:pPr>
              <w:spacing w:line="240" w:lineRule="auto"/>
              <w:contextualSpacing/>
              <w:jc w:val="center"/>
              <w:rPr>
                <w:b/>
                <w:color w:val="000000"/>
                <w:sz w:val="20"/>
                <w:szCs w:val="20"/>
                <w:lang w:val="en-GB" w:eastAsia="en-US"/>
              </w:rPr>
            </w:pPr>
            <w:r w:rsidRPr="002720C2">
              <w:rPr>
                <w:b/>
                <w:color w:val="000000"/>
                <w:sz w:val="20"/>
                <w:szCs w:val="20"/>
                <w:lang w:val="en-GB" w:eastAsia="en-US"/>
              </w:rPr>
              <w:t>2006</w:t>
            </w:r>
          </w:p>
        </w:tc>
        <w:tc>
          <w:tcPr>
            <w:tcW w:w="1078" w:type="dxa"/>
            <w:shd w:val="clear" w:color="auto" w:fill="F6E2A3"/>
            <w:noWrap/>
            <w:vAlign w:val="center"/>
            <w:hideMark/>
          </w:tcPr>
          <w:p w:rsidR="006A5AFE" w:rsidRPr="002720C2" w:rsidRDefault="006A5AFE" w:rsidP="001A7A6C">
            <w:pPr>
              <w:spacing w:line="240" w:lineRule="auto"/>
              <w:contextualSpacing/>
              <w:jc w:val="center"/>
              <w:rPr>
                <w:b/>
                <w:color w:val="000000"/>
                <w:sz w:val="20"/>
                <w:szCs w:val="20"/>
                <w:lang w:val="en-GB" w:eastAsia="en-US"/>
              </w:rPr>
            </w:pPr>
            <w:r w:rsidRPr="002720C2">
              <w:rPr>
                <w:b/>
                <w:color w:val="000000"/>
                <w:sz w:val="20"/>
                <w:szCs w:val="20"/>
                <w:lang w:val="en-GB" w:eastAsia="en-US"/>
              </w:rPr>
              <w:t>2007</w:t>
            </w:r>
          </w:p>
        </w:tc>
        <w:tc>
          <w:tcPr>
            <w:tcW w:w="1022" w:type="dxa"/>
            <w:shd w:val="clear" w:color="auto" w:fill="F6E2A3"/>
            <w:noWrap/>
            <w:vAlign w:val="center"/>
            <w:hideMark/>
          </w:tcPr>
          <w:p w:rsidR="006A5AFE" w:rsidRPr="002720C2" w:rsidRDefault="006A5AFE" w:rsidP="001A7A6C">
            <w:pPr>
              <w:spacing w:line="240" w:lineRule="auto"/>
              <w:contextualSpacing/>
              <w:jc w:val="center"/>
              <w:rPr>
                <w:b/>
                <w:color w:val="000000"/>
                <w:sz w:val="20"/>
                <w:szCs w:val="20"/>
                <w:lang w:val="en-GB" w:eastAsia="en-US"/>
              </w:rPr>
            </w:pPr>
            <w:r w:rsidRPr="002720C2">
              <w:rPr>
                <w:b/>
                <w:color w:val="000000"/>
                <w:sz w:val="20"/>
                <w:szCs w:val="20"/>
                <w:lang w:val="en-GB" w:eastAsia="en-US"/>
              </w:rPr>
              <w:t>2008</w:t>
            </w:r>
          </w:p>
        </w:tc>
        <w:tc>
          <w:tcPr>
            <w:tcW w:w="1046" w:type="dxa"/>
            <w:shd w:val="clear" w:color="auto" w:fill="F6E2A3"/>
            <w:noWrap/>
            <w:vAlign w:val="center"/>
            <w:hideMark/>
          </w:tcPr>
          <w:p w:rsidR="006A5AFE" w:rsidRPr="002720C2" w:rsidRDefault="006A5AFE" w:rsidP="001A7A6C">
            <w:pPr>
              <w:spacing w:line="240" w:lineRule="auto"/>
              <w:contextualSpacing/>
              <w:jc w:val="center"/>
              <w:rPr>
                <w:b/>
                <w:color w:val="000000"/>
                <w:sz w:val="20"/>
                <w:szCs w:val="20"/>
                <w:lang w:val="en-GB" w:eastAsia="en-US"/>
              </w:rPr>
            </w:pPr>
            <w:r w:rsidRPr="002720C2">
              <w:rPr>
                <w:b/>
                <w:color w:val="000000"/>
                <w:sz w:val="20"/>
                <w:szCs w:val="20"/>
                <w:lang w:val="en-GB" w:eastAsia="en-US"/>
              </w:rPr>
              <w:t>2009</w:t>
            </w:r>
          </w:p>
        </w:tc>
        <w:tc>
          <w:tcPr>
            <w:tcW w:w="989" w:type="dxa"/>
            <w:shd w:val="clear" w:color="auto" w:fill="F6E2A3"/>
            <w:noWrap/>
            <w:vAlign w:val="center"/>
            <w:hideMark/>
          </w:tcPr>
          <w:p w:rsidR="006A5AFE" w:rsidRPr="002720C2" w:rsidRDefault="006A5AFE" w:rsidP="001A7A6C">
            <w:pPr>
              <w:spacing w:line="240" w:lineRule="auto"/>
              <w:contextualSpacing/>
              <w:jc w:val="center"/>
              <w:rPr>
                <w:b/>
                <w:color w:val="000000"/>
                <w:sz w:val="20"/>
                <w:szCs w:val="20"/>
                <w:lang w:val="en-GB" w:eastAsia="en-US"/>
              </w:rPr>
            </w:pPr>
            <w:r w:rsidRPr="002720C2">
              <w:rPr>
                <w:b/>
                <w:color w:val="000000"/>
                <w:sz w:val="20"/>
                <w:szCs w:val="20"/>
                <w:lang w:val="en-GB" w:eastAsia="en-US"/>
              </w:rPr>
              <w:t>2010</w:t>
            </w:r>
          </w:p>
        </w:tc>
        <w:tc>
          <w:tcPr>
            <w:tcW w:w="993" w:type="dxa"/>
            <w:shd w:val="clear" w:color="auto" w:fill="F6E2A3"/>
            <w:noWrap/>
            <w:vAlign w:val="center"/>
            <w:hideMark/>
          </w:tcPr>
          <w:p w:rsidR="006A5AFE" w:rsidRPr="002720C2" w:rsidRDefault="006A5AFE" w:rsidP="001A7A6C">
            <w:pPr>
              <w:spacing w:line="240" w:lineRule="auto"/>
              <w:contextualSpacing/>
              <w:jc w:val="center"/>
              <w:rPr>
                <w:b/>
                <w:color w:val="000000"/>
                <w:sz w:val="20"/>
                <w:szCs w:val="20"/>
                <w:lang w:val="en-GB" w:eastAsia="en-US"/>
              </w:rPr>
            </w:pPr>
            <w:r w:rsidRPr="002720C2">
              <w:rPr>
                <w:b/>
                <w:color w:val="000000"/>
                <w:sz w:val="20"/>
                <w:szCs w:val="20"/>
                <w:lang w:val="en-GB" w:eastAsia="en-US"/>
              </w:rPr>
              <w:t>2011</w:t>
            </w:r>
          </w:p>
        </w:tc>
        <w:tc>
          <w:tcPr>
            <w:tcW w:w="1078" w:type="dxa"/>
            <w:shd w:val="clear" w:color="auto" w:fill="F6E2A3"/>
            <w:noWrap/>
            <w:vAlign w:val="center"/>
            <w:hideMark/>
          </w:tcPr>
          <w:p w:rsidR="006A5AFE" w:rsidRPr="002720C2" w:rsidRDefault="006A5AFE" w:rsidP="001A7A6C">
            <w:pPr>
              <w:spacing w:line="240" w:lineRule="auto"/>
              <w:contextualSpacing/>
              <w:jc w:val="center"/>
              <w:rPr>
                <w:b/>
                <w:color w:val="000000"/>
                <w:sz w:val="20"/>
                <w:szCs w:val="20"/>
                <w:lang w:val="en-GB" w:eastAsia="en-US"/>
              </w:rPr>
            </w:pPr>
            <w:r w:rsidRPr="002720C2">
              <w:rPr>
                <w:b/>
                <w:color w:val="000000"/>
                <w:sz w:val="20"/>
                <w:szCs w:val="20"/>
                <w:lang w:val="en-GB" w:eastAsia="en-US"/>
              </w:rPr>
              <w:t>2012</w:t>
            </w:r>
          </w:p>
        </w:tc>
        <w:tc>
          <w:tcPr>
            <w:tcW w:w="1257" w:type="dxa"/>
            <w:shd w:val="clear" w:color="auto" w:fill="F6E2A3"/>
            <w:noWrap/>
            <w:vAlign w:val="center"/>
            <w:hideMark/>
          </w:tcPr>
          <w:p w:rsidR="006A5AFE" w:rsidRPr="002720C2" w:rsidRDefault="006A5AFE" w:rsidP="001A7A6C">
            <w:pPr>
              <w:spacing w:line="240" w:lineRule="auto"/>
              <w:contextualSpacing/>
              <w:jc w:val="center"/>
              <w:rPr>
                <w:b/>
                <w:color w:val="000000"/>
                <w:sz w:val="20"/>
                <w:szCs w:val="20"/>
                <w:lang w:val="en-GB" w:eastAsia="en-US"/>
              </w:rPr>
            </w:pPr>
            <w:r w:rsidRPr="002720C2">
              <w:rPr>
                <w:b/>
                <w:color w:val="000000"/>
                <w:sz w:val="20"/>
                <w:szCs w:val="20"/>
                <w:lang w:val="en-GB" w:eastAsia="en-US"/>
              </w:rPr>
              <w:t>2013</w:t>
            </w:r>
          </w:p>
        </w:tc>
      </w:tr>
      <w:tr w:rsidR="007D0138" w:rsidRPr="002720C2" w:rsidTr="001A7A6C">
        <w:trPr>
          <w:trHeight w:val="315"/>
          <w:jc w:val="right"/>
        </w:trPr>
        <w:tc>
          <w:tcPr>
            <w:tcW w:w="1317" w:type="dxa"/>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January</w:t>
            </w:r>
            <w:r w:rsidRPr="002720C2">
              <w:rPr>
                <w:rFonts w:eastAsia="Times New Roman" w:cs="Times New Roman"/>
                <w:bCs/>
                <w:sz w:val="20"/>
                <w:szCs w:val="20"/>
                <w:lang w:val="en-GB"/>
              </w:rPr>
              <w:t xml:space="preserve"> </w:t>
            </w:r>
          </w:p>
        </w:tc>
        <w:tc>
          <w:tcPr>
            <w:tcW w:w="992"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78"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22"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46"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989"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993"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78"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257"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r>
      <w:tr w:rsidR="007D0138" w:rsidRPr="002720C2" w:rsidTr="001A7A6C">
        <w:trPr>
          <w:trHeight w:val="315"/>
          <w:jc w:val="right"/>
        </w:trPr>
        <w:tc>
          <w:tcPr>
            <w:tcW w:w="1317" w:type="dxa"/>
            <w:shd w:val="clear" w:color="auto" w:fill="F6E2A3"/>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February</w:t>
            </w:r>
            <w:r w:rsidRPr="002720C2">
              <w:rPr>
                <w:rFonts w:eastAsia="Times New Roman" w:cs="Times New Roman"/>
                <w:bCs/>
                <w:sz w:val="20"/>
                <w:szCs w:val="20"/>
                <w:lang w:val="en-GB"/>
              </w:rPr>
              <w:t xml:space="preserve"> </w:t>
            </w:r>
          </w:p>
        </w:tc>
        <w:tc>
          <w:tcPr>
            <w:tcW w:w="992" w:type="dxa"/>
            <w:shd w:val="clear" w:color="auto" w:fill="F6E2A3"/>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94</w:t>
            </w:r>
            <w:r w:rsidRPr="002720C2">
              <w:rPr>
                <w:rStyle w:val="CommentReference"/>
                <w:w w:val="50"/>
                <w:lang w:val="en-GB"/>
              </w:rPr>
              <w:t> </w:t>
            </w:r>
            <w:r w:rsidRPr="002720C2">
              <w:rPr>
                <w:rFonts w:eastAsia="Times New Roman" w:cs="Times New Roman"/>
                <w:bCs/>
                <w:sz w:val="20"/>
                <w:szCs w:val="20"/>
                <w:lang w:val="en-GB"/>
              </w:rPr>
              <w:t xml:space="preserve">616 </w:t>
            </w:r>
          </w:p>
        </w:tc>
        <w:tc>
          <w:tcPr>
            <w:tcW w:w="1078" w:type="dxa"/>
            <w:shd w:val="clear" w:color="auto" w:fill="F6E2A3"/>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22" w:type="dxa"/>
            <w:shd w:val="clear" w:color="auto" w:fill="F6E2A3"/>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46" w:type="dxa"/>
            <w:shd w:val="clear" w:color="auto" w:fill="F6E2A3"/>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247</w:t>
            </w:r>
            <w:r w:rsidRPr="002720C2">
              <w:rPr>
                <w:rStyle w:val="CommentReference"/>
                <w:w w:val="50"/>
                <w:lang w:val="en-GB"/>
              </w:rPr>
              <w:t> </w:t>
            </w:r>
            <w:r w:rsidRPr="002720C2">
              <w:rPr>
                <w:rFonts w:eastAsia="Times New Roman" w:cs="Times New Roman"/>
                <w:bCs/>
                <w:sz w:val="20"/>
                <w:szCs w:val="20"/>
                <w:lang w:val="en-GB"/>
              </w:rPr>
              <w:t xml:space="preserve">021 </w:t>
            </w:r>
          </w:p>
        </w:tc>
        <w:tc>
          <w:tcPr>
            <w:tcW w:w="989" w:type="dxa"/>
            <w:shd w:val="clear" w:color="auto" w:fill="F6E2A3"/>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993" w:type="dxa"/>
            <w:shd w:val="clear" w:color="auto" w:fill="F6E2A3"/>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78" w:type="dxa"/>
            <w:shd w:val="clear" w:color="auto" w:fill="F6E2A3"/>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257" w:type="dxa"/>
            <w:shd w:val="clear" w:color="auto" w:fill="F6E2A3"/>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r>
      <w:tr w:rsidR="007D0138" w:rsidRPr="002720C2" w:rsidTr="001A7A6C">
        <w:trPr>
          <w:trHeight w:val="315"/>
          <w:jc w:val="right"/>
        </w:trPr>
        <w:tc>
          <w:tcPr>
            <w:tcW w:w="1317" w:type="dxa"/>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March</w:t>
            </w:r>
            <w:r w:rsidRPr="002720C2">
              <w:rPr>
                <w:rFonts w:eastAsia="Times New Roman" w:cs="Times New Roman"/>
                <w:bCs/>
                <w:sz w:val="20"/>
                <w:szCs w:val="20"/>
                <w:lang w:val="en-GB"/>
              </w:rPr>
              <w:t xml:space="preserve"> </w:t>
            </w:r>
          </w:p>
        </w:tc>
        <w:tc>
          <w:tcPr>
            <w:tcW w:w="992"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180</w:t>
            </w:r>
            <w:r w:rsidRPr="002720C2">
              <w:rPr>
                <w:rStyle w:val="CommentReference"/>
                <w:w w:val="50"/>
                <w:lang w:val="en-GB"/>
              </w:rPr>
              <w:t> </w:t>
            </w:r>
            <w:r w:rsidRPr="002720C2">
              <w:rPr>
                <w:rFonts w:eastAsia="Times New Roman" w:cs="Times New Roman"/>
                <w:bCs/>
                <w:sz w:val="20"/>
                <w:szCs w:val="20"/>
                <w:lang w:val="en-GB"/>
              </w:rPr>
              <w:t xml:space="preserve">449 </w:t>
            </w:r>
          </w:p>
        </w:tc>
        <w:tc>
          <w:tcPr>
            <w:tcW w:w="1078"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236</w:t>
            </w:r>
            <w:r w:rsidRPr="002720C2">
              <w:rPr>
                <w:rStyle w:val="CommentReference"/>
                <w:w w:val="50"/>
                <w:lang w:val="en-GB"/>
              </w:rPr>
              <w:t> </w:t>
            </w:r>
            <w:r w:rsidRPr="002720C2">
              <w:rPr>
                <w:rFonts w:eastAsia="Times New Roman" w:cs="Times New Roman"/>
                <w:bCs/>
                <w:sz w:val="20"/>
                <w:szCs w:val="20"/>
                <w:lang w:val="en-GB"/>
              </w:rPr>
              <w:t xml:space="preserve">013 </w:t>
            </w:r>
          </w:p>
        </w:tc>
        <w:tc>
          <w:tcPr>
            <w:tcW w:w="1022"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207</w:t>
            </w:r>
            <w:r w:rsidRPr="002720C2">
              <w:rPr>
                <w:rStyle w:val="CommentReference"/>
                <w:w w:val="50"/>
                <w:lang w:val="en-GB"/>
              </w:rPr>
              <w:t> </w:t>
            </w:r>
            <w:r w:rsidRPr="002720C2">
              <w:rPr>
                <w:rFonts w:eastAsia="Times New Roman" w:cs="Times New Roman"/>
                <w:bCs/>
                <w:sz w:val="20"/>
                <w:szCs w:val="20"/>
                <w:lang w:val="en-GB"/>
              </w:rPr>
              <w:t xml:space="preserve">714 </w:t>
            </w:r>
          </w:p>
        </w:tc>
        <w:tc>
          <w:tcPr>
            <w:tcW w:w="1046"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294</w:t>
            </w:r>
            <w:r w:rsidRPr="002720C2">
              <w:rPr>
                <w:rStyle w:val="CommentReference"/>
                <w:w w:val="50"/>
                <w:lang w:val="en-GB"/>
              </w:rPr>
              <w:t> </w:t>
            </w:r>
            <w:r w:rsidRPr="002720C2">
              <w:rPr>
                <w:rFonts w:eastAsia="Times New Roman" w:cs="Times New Roman"/>
                <w:bCs/>
                <w:sz w:val="20"/>
                <w:szCs w:val="20"/>
                <w:lang w:val="en-GB"/>
              </w:rPr>
              <w:t xml:space="preserve">233 </w:t>
            </w:r>
          </w:p>
        </w:tc>
        <w:tc>
          <w:tcPr>
            <w:tcW w:w="989"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434</w:t>
            </w:r>
            <w:r w:rsidRPr="002720C2">
              <w:rPr>
                <w:rStyle w:val="CommentReference"/>
                <w:w w:val="50"/>
                <w:lang w:val="en-GB"/>
              </w:rPr>
              <w:t> </w:t>
            </w:r>
            <w:r w:rsidRPr="002720C2">
              <w:rPr>
                <w:rFonts w:eastAsia="Times New Roman" w:cs="Times New Roman"/>
                <w:bCs/>
                <w:sz w:val="20"/>
                <w:szCs w:val="20"/>
                <w:lang w:val="en-GB"/>
              </w:rPr>
              <w:t xml:space="preserve">834 </w:t>
            </w:r>
          </w:p>
        </w:tc>
        <w:tc>
          <w:tcPr>
            <w:tcW w:w="993"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78"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357</w:t>
            </w:r>
            <w:r w:rsidRPr="002720C2">
              <w:rPr>
                <w:rStyle w:val="CommentReference"/>
                <w:w w:val="50"/>
                <w:lang w:val="en-GB"/>
              </w:rPr>
              <w:t> </w:t>
            </w:r>
            <w:r w:rsidRPr="002720C2">
              <w:rPr>
                <w:rFonts w:eastAsia="Times New Roman" w:cs="Times New Roman"/>
                <w:bCs/>
                <w:sz w:val="20"/>
                <w:szCs w:val="20"/>
                <w:lang w:val="en-GB"/>
              </w:rPr>
              <w:t xml:space="preserve">095 </w:t>
            </w:r>
          </w:p>
        </w:tc>
        <w:tc>
          <w:tcPr>
            <w:tcW w:w="1257"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326</w:t>
            </w:r>
            <w:r w:rsidRPr="002720C2">
              <w:rPr>
                <w:rStyle w:val="CommentReference"/>
                <w:w w:val="50"/>
                <w:lang w:val="en-GB"/>
              </w:rPr>
              <w:t> </w:t>
            </w:r>
            <w:r w:rsidRPr="002720C2">
              <w:rPr>
                <w:rFonts w:eastAsia="Times New Roman" w:cs="Times New Roman"/>
                <w:bCs/>
                <w:sz w:val="20"/>
                <w:szCs w:val="20"/>
                <w:lang w:val="en-GB"/>
              </w:rPr>
              <w:t xml:space="preserve">188 </w:t>
            </w:r>
          </w:p>
        </w:tc>
      </w:tr>
      <w:tr w:rsidR="007D0138" w:rsidRPr="002720C2" w:rsidTr="001A7A6C">
        <w:trPr>
          <w:trHeight w:val="315"/>
          <w:jc w:val="right"/>
        </w:trPr>
        <w:tc>
          <w:tcPr>
            <w:tcW w:w="1317" w:type="dxa"/>
            <w:shd w:val="clear" w:color="auto" w:fill="F6E2A3"/>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April</w:t>
            </w:r>
            <w:r w:rsidRPr="002720C2">
              <w:rPr>
                <w:rFonts w:eastAsia="Times New Roman" w:cs="Times New Roman"/>
                <w:bCs/>
                <w:sz w:val="20"/>
                <w:szCs w:val="20"/>
                <w:lang w:val="en-GB"/>
              </w:rPr>
              <w:t xml:space="preserve"> </w:t>
            </w:r>
          </w:p>
        </w:tc>
        <w:tc>
          <w:tcPr>
            <w:tcW w:w="992" w:type="dxa"/>
            <w:shd w:val="clear" w:color="auto" w:fill="F6E2A3"/>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215</w:t>
            </w:r>
            <w:r w:rsidRPr="002720C2">
              <w:rPr>
                <w:rStyle w:val="CommentReference"/>
                <w:w w:val="50"/>
                <w:lang w:val="en-GB"/>
              </w:rPr>
              <w:t> </w:t>
            </w:r>
            <w:r w:rsidRPr="002720C2">
              <w:rPr>
                <w:rFonts w:eastAsia="Times New Roman" w:cs="Times New Roman"/>
                <w:bCs/>
                <w:sz w:val="20"/>
                <w:szCs w:val="20"/>
                <w:lang w:val="en-GB"/>
              </w:rPr>
              <w:t xml:space="preserve">313 </w:t>
            </w:r>
          </w:p>
        </w:tc>
        <w:tc>
          <w:tcPr>
            <w:tcW w:w="1078"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22"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46"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89"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93" w:type="dxa"/>
            <w:shd w:val="clear" w:color="auto" w:fill="F6E2A3"/>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439</w:t>
            </w:r>
            <w:r w:rsidRPr="002720C2">
              <w:rPr>
                <w:rStyle w:val="CommentReference"/>
                <w:w w:val="50"/>
                <w:lang w:val="en-GB"/>
              </w:rPr>
              <w:t> </w:t>
            </w:r>
            <w:r w:rsidRPr="002720C2">
              <w:rPr>
                <w:rFonts w:eastAsia="Times New Roman" w:cs="Times New Roman"/>
                <w:bCs/>
                <w:sz w:val="20"/>
                <w:szCs w:val="20"/>
                <w:lang w:val="en-GB"/>
              </w:rPr>
              <w:t xml:space="preserve">987 </w:t>
            </w:r>
          </w:p>
        </w:tc>
        <w:tc>
          <w:tcPr>
            <w:tcW w:w="1078"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257"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r>
      <w:tr w:rsidR="007D0138" w:rsidRPr="002720C2" w:rsidTr="001A7A6C">
        <w:trPr>
          <w:trHeight w:val="315"/>
          <w:jc w:val="right"/>
        </w:trPr>
        <w:tc>
          <w:tcPr>
            <w:tcW w:w="1317" w:type="dxa"/>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May</w:t>
            </w:r>
            <w:r w:rsidRPr="002720C2">
              <w:rPr>
                <w:rFonts w:eastAsia="Times New Roman" w:cs="Times New Roman"/>
                <w:bCs/>
                <w:sz w:val="20"/>
                <w:szCs w:val="20"/>
                <w:lang w:val="en-GB"/>
              </w:rPr>
              <w:t xml:space="preserve"> </w:t>
            </w:r>
          </w:p>
        </w:tc>
        <w:tc>
          <w:tcPr>
            <w:tcW w:w="992"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215</w:t>
            </w:r>
            <w:r w:rsidRPr="002720C2">
              <w:rPr>
                <w:rStyle w:val="CommentReference"/>
                <w:w w:val="50"/>
                <w:lang w:val="en-GB"/>
              </w:rPr>
              <w:t> </w:t>
            </w:r>
            <w:r w:rsidRPr="002720C2">
              <w:rPr>
                <w:rFonts w:eastAsia="Times New Roman" w:cs="Times New Roman"/>
                <w:bCs/>
                <w:sz w:val="20"/>
                <w:szCs w:val="20"/>
                <w:lang w:val="en-GB"/>
              </w:rPr>
              <w:t xml:space="preserve">415 </w:t>
            </w:r>
          </w:p>
        </w:tc>
        <w:tc>
          <w:tcPr>
            <w:tcW w:w="1078"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256</w:t>
            </w:r>
            <w:r w:rsidRPr="002720C2">
              <w:rPr>
                <w:rStyle w:val="CommentReference"/>
                <w:w w:val="50"/>
                <w:lang w:val="en-GB"/>
              </w:rPr>
              <w:t> </w:t>
            </w:r>
            <w:r w:rsidRPr="002720C2">
              <w:rPr>
                <w:rFonts w:eastAsia="Times New Roman" w:cs="Times New Roman"/>
                <w:bCs/>
                <w:sz w:val="20"/>
                <w:szCs w:val="20"/>
                <w:lang w:val="en-GB"/>
              </w:rPr>
              <w:t xml:space="preserve">408 </w:t>
            </w:r>
          </w:p>
        </w:tc>
        <w:tc>
          <w:tcPr>
            <w:tcW w:w="1022"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228</w:t>
            </w:r>
            <w:r w:rsidRPr="002720C2">
              <w:rPr>
                <w:rStyle w:val="CommentReference"/>
                <w:w w:val="50"/>
                <w:lang w:val="en-GB"/>
              </w:rPr>
              <w:t> </w:t>
            </w:r>
            <w:r w:rsidRPr="002720C2">
              <w:rPr>
                <w:rFonts w:eastAsia="Times New Roman" w:cs="Times New Roman"/>
                <w:bCs/>
                <w:sz w:val="20"/>
                <w:szCs w:val="20"/>
                <w:lang w:val="en-GB"/>
              </w:rPr>
              <w:t xml:space="preserve">599 </w:t>
            </w:r>
          </w:p>
        </w:tc>
        <w:tc>
          <w:tcPr>
            <w:tcW w:w="1046"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359</w:t>
            </w:r>
            <w:r w:rsidRPr="002720C2">
              <w:rPr>
                <w:rStyle w:val="CommentReference"/>
                <w:w w:val="50"/>
                <w:lang w:val="en-GB"/>
              </w:rPr>
              <w:t> </w:t>
            </w:r>
            <w:r w:rsidRPr="002720C2">
              <w:rPr>
                <w:rFonts w:eastAsia="Times New Roman" w:cs="Times New Roman"/>
                <w:bCs/>
                <w:sz w:val="20"/>
                <w:szCs w:val="20"/>
                <w:lang w:val="en-GB"/>
              </w:rPr>
              <w:t xml:space="preserve">404 </w:t>
            </w:r>
          </w:p>
        </w:tc>
        <w:tc>
          <w:tcPr>
            <w:tcW w:w="989"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485</w:t>
            </w:r>
            <w:r w:rsidRPr="002720C2">
              <w:rPr>
                <w:rStyle w:val="CommentReference"/>
                <w:w w:val="50"/>
                <w:lang w:val="en-GB"/>
              </w:rPr>
              <w:t> </w:t>
            </w:r>
            <w:r w:rsidRPr="002720C2">
              <w:rPr>
                <w:rFonts w:eastAsia="Times New Roman" w:cs="Times New Roman"/>
                <w:bCs/>
                <w:sz w:val="20"/>
                <w:szCs w:val="20"/>
                <w:lang w:val="en-GB"/>
              </w:rPr>
              <w:t xml:space="preserve">522 </w:t>
            </w:r>
          </w:p>
        </w:tc>
        <w:tc>
          <w:tcPr>
            <w:tcW w:w="993"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467</w:t>
            </w:r>
            <w:r w:rsidRPr="002720C2">
              <w:rPr>
                <w:rStyle w:val="CommentReference"/>
                <w:w w:val="50"/>
                <w:lang w:val="en-GB"/>
              </w:rPr>
              <w:t> </w:t>
            </w:r>
            <w:r w:rsidRPr="002720C2">
              <w:rPr>
                <w:rFonts w:eastAsia="Times New Roman" w:cs="Times New Roman"/>
                <w:bCs/>
                <w:sz w:val="20"/>
                <w:szCs w:val="20"/>
                <w:lang w:val="en-GB"/>
              </w:rPr>
              <w:t xml:space="preserve">269 </w:t>
            </w:r>
          </w:p>
        </w:tc>
        <w:tc>
          <w:tcPr>
            <w:tcW w:w="1078"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412</w:t>
            </w:r>
            <w:r w:rsidRPr="002720C2">
              <w:rPr>
                <w:rStyle w:val="CommentReference"/>
                <w:w w:val="50"/>
                <w:lang w:val="en-GB"/>
              </w:rPr>
              <w:t> </w:t>
            </w:r>
            <w:r w:rsidRPr="002720C2">
              <w:rPr>
                <w:rFonts w:eastAsia="Times New Roman" w:cs="Times New Roman"/>
                <w:bCs/>
                <w:sz w:val="20"/>
                <w:szCs w:val="20"/>
                <w:lang w:val="en-GB"/>
              </w:rPr>
              <w:t xml:space="preserve">951 </w:t>
            </w:r>
          </w:p>
        </w:tc>
        <w:tc>
          <w:tcPr>
            <w:tcW w:w="1257"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368</w:t>
            </w:r>
            <w:r w:rsidRPr="002720C2">
              <w:rPr>
                <w:rStyle w:val="CommentReference"/>
                <w:w w:val="50"/>
                <w:lang w:val="en-GB"/>
              </w:rPr>
              <w:t> </w:t>
            </w:r>
            <w:r w:rsidRPr="002720C2">
              <w:rPr>
                <w:rFonts w:eastAsia="Times New Roman" w:cs="Times New Roman"/>
                <w:bCs/>
                <w:sz w:val="20"/>
                <w:szCs w:val="20"/>
                <w:lang w:val="en-GB"/>
              </w:rPr>
              <w:t xml:space="preserve">872 </w:t>
            </w:r>
          </w:p>
        </w:tc>
      </w:tr>
      <w:tr w:rsidR="007D0138" w:rsidRPr="002720C2" w:rsidTr="001A7A6C">
        <w:trPr>
          <w:trHeight w:val="315"/>
          <w:jc w:val="right"/>
        </w:trPr>
        <w:tc>
          <w:tcPr>
            <w:tcW w:w="1317" w:type="dxa"/>
            <w:shd w:val="clear" w:color="auto" w:fill="F6E2A3"/>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June</w:t>
            </w:r>
            <w:r w:rsidRPr="002720C2">
              <w:rPr>
                <w:rFonts w:eastAsia="Times New Roman" w:cs="Times New Roman"/>
                <w:bCs/>
                <w:sz w:val="20"/>
                <w:szCs w:val="20"/>
                <w:lang w:val="en-GB"/>
              </w:rPr>
              <w:t xml:space="preserve"> </w:t>
            </w:r>
          </w:p>
        </w:tc>
        <w:tc>
          <w:tcPr>
            <w:tcW w:w="992" w:type="dxa"/>
            <w:shd w:val="clear" w:color="auto" w:fill="F6E2A3"/>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241</w:t>
            </w:r>
            <w:r w:rsidRPr="002720C2">
              <w:rPr>
                <w:rStyle w:val="CommentReference"/>
                <w:w w:val="50"/>
                <w:lang w:val="en-GB"/>
              </w:rPr>
              <w:t> </w:t>
            </w:r>
            <w:r w:rsidRPr="002720C2">
              <w:rPr>
                <w:rFonts w:eastAsia="Times New Roman" w:cs="Times New Roman"/>
                <w:bCs/>
                <w:sz w:val="20"/>
                <w:szCs w:val="20"/>
                <w:lang w:val="en-GB"/>
              </w:rPr>
              <w:t xml:space="preserve">765 </w:t>
            </w:r>
          </w:p>
        </w:tc>
        <w:tc>
          <w:tcPr>
            <w:tcW w:w="1078"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22"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46"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89"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93"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78"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257"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r>
      <w:tr w:rsidR="007D0138" w:rsidRPr="002720C2" w:rsidTr="001A7A6C">
        <w:trPr>
          <w:trHeight w:val="315"/>
          <w:jc w:val="right"/>
        </w:trPr>
        <w:tc>
          <w:tcPr>
            <w:tcW w:w="1317" w:type="dxa"/>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July</w:t>
            </w:r>
            <w:r w:rsidRPr="002720C2">
              <w:rPr>
                <w:rFonts w:eastAsia="Times New Roman" w:cs="Times New Roman"/>
                <w:bCs/>
                <w:sz w:val="20"/>
                <w:szCs w:val="20"/>
                <w:lang w:val="en-GB"/>
              </w:rPr>
              <w:t xml:space="preserve"> </w:t>
            </w:r>
          </w:p>
        </w:tc>
        <w:tc>
          <w:tcPr>
            <w:tcW w:w="992"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241</w:t>
            </w:r>
            <w:r w:rsidRPr="002720C2">
              <w:rPr>
                <w:rStyle w:val="CommentReference"/>
                <w:w w:val="50"/>
                <w:lang w:val="en-GB"/>
              </w:rPr>
              <w:t> </w:t>
            </w:r>
            <w:r w:rsidRPr="002720C2">
              <w:rPr>
                <w:rFonts w:eastAsia="Times New Roman" w:cs="Times New Roman"/>
                <w:bCs/>
                <w:sz w:val="20"/>
                <w:szCs w:val="20"/>
                <w:lang w:val="en-GB"/>
              </w:rPr>
              <w:t xml:space="preserve">492 </w:t>
            </w:r>
          </w:p>
        </w:tc>
        <w:tc>
          <w:tcPr>
            <w:tcW w:w="1078"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260</w:t>
            </w:r>
            <w:r w:rsidRPr="002720C2">
              <w:rPr>
                <w:rStyle w:val="CommentReference"/>
                <w:w w:val="50"/>
                <w:lang w:val="en-GB"/>
              </w:rPr>
              <w:t> </w:t>
            </w:r>
            <w:r w:rsidRPr="002720C2">
              <w:rPr>
                <w:rFonts w:eastAsia="Times New Roman" w:cs="Times New Roman"/>
                <w:bCs/>
                <w:sz w:val="20"/>
                <w:szCs w:val="20"/>
                <w:lang w:val="en-GB"/>
              </w:rPr>
              <w:t xml:space="preserve">643 </w:t>
            </w:r>
          </w:p>
        </w:tc>
        <w:tc>
          <w:tcPr>
            <w:tcW w:w="1022"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234</w:t>
            </w:r>
            <w:r w:rsidRPr="002720C2">
              <w:rPr>
                <w:rStyle w:val="CommentReference"/>
                <w:w w:val="50"/>
                <w:lang w:val="en-GB"/>
              </w:rPr>
              <w:t> </w:t>
            </w:r>
            <w:r w:rsidRPr="002720C2">
              <w:rPr>
                <w:rFonts w:eastAsia="Times New Roman" w:cs="Times New Roman"/>
                <w:bCs/>
                <w:sz w:val="20"/>
                <w:szCs w:val="20"/>
                <w:lang w:val="en-GB"/>
              </w:rPr>
              <w:t xml:space="preserve">333 </w:t>
            </w:r>
          </w:p>
        </w:tc>
        <w:tc>
          <w:tcPr>
            <w:tcW w:w="1046"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387</w:t>
            </w:r>
            <w:r w:rsidRPr="002720C2">
              <w:rPr>
                <w:rStyle w:val="CommentReference"/>
                <w:w w:val="50"/>
                <w:lang w:val="en-GB"/>
              </w:rPr>
              <w:t> </w:t>
            </w:r>
            <w:r w:rsidRPr="002720C2">
              <w:rPr>
                <w:rFonts w:eastAsia="Times New Roman" w:cs="Times New Roman"/>
                <w:bCs/>
                <w:sz w:val="20"/>
                <w:szCs w:val="20"/>
                <w:lang w:val="en-GB"/>
              </w:rPr>
              <w:t xml:space="preserve">447 </w:t>
            </w:r>
          </w:p>
        </w:tc>
        <w:tc>
          <w:tcPr>
            <w:tcW w:w="989"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504</w:t>
            </w:r>
            <w:r w:rsidRPr="002720C2">
              <w:rPr>
                <w:rStyle w:val="CommentReference"/>
                <w:w w:val="50"/>
                <w:lang w:val="en-GB"/>
              </w:rPr>
              <w:t>  </w:t>
            </w:r>
            <w:r w:rsidRPr="002720C2">
              <w:rPr>
                <w:rFonts w:eastAsia="Times New Roman" w:cs="Times New Roman"/>
                <w:bCs/>
                <w:sz w:val="20"/>
                <w:szCs w:val="20"/>
                <w:lang w:val="en-GB"/>
              </w:rPr>
              <w:t xml:space="preserve">011 </w:t>
            </w:r>
          </w:p>
        </w:tc>
        <w:tc>
          <w:tcPr>
            <w:tcW w:w="993"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482</w:t>
            </w:r>
            <w:r w:rsidRPr="002720C2">
              <w:rPr>
                <w:rStyle w:val="CommentReference"/>
                <w:w w:val="50"/>
                <w:lang w:val="en-GB"/>
              </w:rPr>
              <w:t> </w:t>
            </w:r>
            <w:r w:rsidRPr="002720C2">
              <w:rPr>
                <w:rFonts w:eastAsia="Times New Roman" w:cs="Times New Roman"/>
                <w:bCs/>
                <w:sz w:val="20"/>
                <w:szCs w:val="20"/>
                <w:lang w:val="en-GB"/>
              </w:rPr>
              <w:t xml:space="preserve">225 </w:t>
            </w:r>
          </w:p>
        </w:tc>
        <w:tc>
          <w:tcPr>
            <w:tcW w:w="1078" w:type="dxa"/>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257"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377</w:t>
            </w:r>
            <w:r w:rsidRPr="002720C2">
              <w:rPr>
                <w:rStyle w:val="CommentReference"/>
                <w:w w:val="50"/>
                <w:lang w:val="en-GB"/>
              </w:rPr>
              <w:t> </w:t>
            </w:r>
            <w:r w:rsidRPr="002720C2">
              <w:rPr>
                <w:rFonts w:eastAsia="Times New Roman" w:cs="Times New Roman"/>
                <w:bCs/>
                <w:sz w:val="20"/>
                <w:szCs w:val="20"/>
                <w:lang w:val="en-GB"/>
              </w:rPr>
              <w:t xml:space="preserve">819 </w:t>
            </w:r>
          </w:p>
        </w:tc>
      </w:tr>
      <w:tr w:rsidR="007D0138" w:rsidRPr="002720C2" w:rsidTr="001A7A6C">
        <w:trPr>
          <w:trHeight w:val="315"/>
          <w:jc w:val="right"/>
        </w:trPr>
        <w:tc>
          <w:tcPr>
            <w:tcW w:w="1317" w:type="dxa"/>
            <w:shd w:val="clear" w:color="auto" w:fill="F6E2A3"/>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August</w:t>
            </w:r>
            <w:r w:rsidRPr="002720C2">
              <w:rPr>
                <w:rFonts w:eastAsia="Times New Roman" w:cs="Times New Roman"/>
                <w:bCs/>
                <w:sz w:val="20"/>
                <w:szCs w:val="20"/>
                <w:lang w:val="en-GB"/>
              </w:rPr>
              <w:t xml:space="preserve"> </w:t>
            </w:r>
          </w:p>
        </w:tc>
        <w:tc>
          <w:tcPr>
            <w:tcW w:w="992" w:type="dxa"/>
            <w:shd w:val="clear" w:color="auto" w:fill="F6E2A3"/>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245</w:t>
            </w:r>
            <w:r w:rsidRPr="002720C2">
              <w:rPr>
                <w:rStyle w:val="CommentReference"/>
                <w:w w:val="50"/>
                <w:lang w:val="en-GB"/>
              </w:rPr>
              <w:t>  </w:t>
            </w:r>
            <w:r w:rsidRPr="002720C2">
              <w:rPr>
                <w:rFonts w:eastAsia="Times New Roman" w:cs="Times New Roman"/>
                <w:bCs/>
                <w:sz w:val="20"/>
                <w:szCs w:val="20"/>
                <w:lang w:val="en-GB"/>
              </w:rPr>
              <w:t xml:space="preserve">035 </w:t>
            </w:r>
          </w:p>
        </w:tc>
        <w:tc>
          <w:tcPr>
            <w:tcW w:w="1078"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22"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46"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89"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93"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78" w:type="dxa"/>
            <w:shd w:val="clear" w:color="auto" w:fill="F6E2A3"/>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428</w:t>
            </w:r>
            <w:r w:rsidRPr="002720C2">
              <w:rPr>
                <w:rStyle w:val="CommentReference"/>
                <w:w w:val="50"/>
                <w:lang w:val="en-GB"/>
              </w:rPr>
              <w:t>  </w:t>
            </w:r>
            <w:r w:rsidRPr="002720C2">
              <w:rPr>
                <w:rFonts w:eastAsia="Times New Roman" w:cs="Times New Roman"/>
                <w:bCs/>
                <w:sz w:val="20"/>
                <w:szCs w:val="20"/>
                <w:lang w:val="en-GB"/>
              </w:rPr>
              <w:t xml:space="preserve">992 </w:t>
            </w:r>
          </w:p>
        </w:tc>
        <w:tc>
          <w:tcPr>
            <w:tcW w:w="1257"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r>
      <w:tr w:rsidR="007D0138" w:rsidRPr="002720C2" w:rsidTr="001A7A6C">
        <w:trPr>
          <w:trHeight w:val="315"/>
          <w:jc w:val="right"/>
        </w:trPr>
        <w:tc>
          <w:tcPr>
            <w:tcW w:w="1317" w:type="dxa"/>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September</w:t>
            </w:r>
            <w:r w:rsidRPr="002720C2">
              <w:rPr>
                <w:rFonts w:eastAsia="Times New Roman" w:cs="Times New Roman"/>
                <w:bCs/>
                <w:sz w:val="20"/>
                <w:szCs w:val="20"/>
                <w:lang w:val="en-GB"/>
              </w:rPr>
              <w:t xml:space="preserve"> </w:t>
            </w:r>
          </w:p>
        </w:tc>
        <w:tc>
          <w:tcPr>
            <w:tcW w:w="992"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247</w:t>
            </w:r>
            <w:r w:rsidRPr="002720C2">
              <w:rPr>
                <w:rStyle w:val="CommentReference"/>
                <w:w w:val="50"/>
                <w:lang w:val="en-GB"/>
              </w:rPr>
              <w:t> </w:t>
            </w:r>
            <w:r w:rsidRPr="002720C2">
              <w:rPr>
                <w:rFonts w:eastAsia="Times New Roman" w:cs="Times New Roman"/>
                <w:bCs/>
                <w:sz w:val="20"/>
                <w:szCs w:val="20"/>
                <w:lang w:val="en-GB"/>
              </w:rPr>
              <w:t xml:space="preserve">082 </w:t>
            </w:r>
          </w:p>
        </w:tc>
        <w:tc>
          <w:tcPr>
            <w:tcW w:w="1078"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260</w:t>
            </w:r>
            <w:r w:rsidRPr="002720C2">
              <w:rPr>
                <w:rStyle w:val="CommentReference"/>
                <w:w w:val="50"/>
                <w:lang w:val="en-GB"/>
              </w:rPr>
              <w:t> </w:t>
            </w:r>
            <w:r w:rsidRPr="002720C2">
              <w:rPr>
                <w:rFonts w:eastAsia="Times New Roman" w:cs="Times New Roman"/>
                <w:bCs/>
                <w:sz w:val="20"/>
                <w:szCs w:val="20"/>
                <w:lang w:val="en-GB"/>
              </w:rPr>
              <w:t xml:space="preserve">236 </w:t>
            </w:r>
          </w:p>
        </w:tc>
        <w:tc>
          <w:tcPr>
            <w:tcW w:w="1022"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238</w:t>
            </w:r>
            <w:r w:rsidRPr="002720C2">
              <w:rPr>
                <w:rStyle w:val="CommentReference"/>
                <w:w w:val="50"/>
                <w:lang w:val="en-GB"/>
              </w:rPr>
              <w:t> </w:t>
            </w:r>
            <w:r w:rsidRPr="002720C2">
              <w:rPr>
                <w:rFonts w:eastAsia="Times New Roman" w:cs="Times New Roman"/>
                <w:bCs/>
                <w:sz w:val="20"/>
                <w:szCs w:val="20"/>
                <w:lang w:val="en-GB"/>
              </w:rPr>
              <w:t xml:space="preserve">726 </w:t>
            </w:r>
          </w:p>
        </w:tc>
        <w:tc>
          <w:tcPr>
            <w:tcW w:w="1046"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417</w:t>
            </w:r>
            <w:r w:rsidRPr="002720C2">
              <w:rPr>
                <w:rStyle w:val="CommentReference"/>
                <w:w w:val="50"/>
                <w:lang w:val="en-GB"/>
              </w:rPr>
              <w:t> </w:t>
            </w:r>
            <w:r w:rsidRPr="002720C2">
              <w:rPr>
                <w:rFonts w:eastAsia="Times New Roman" w:cs="Times New Roman"/>
                <w:bCs/>
                <w:sz w:val="20"/>
                <w:szCs w:val="20"/>
                <w:lang w:val="en-GB"/>
              </w:rPr>
              <w:t xml:space="preserve">894 </w:t>
            </w:r>
          </w:p>
        </w:tc>
        <w:tc>
          <w:tcPr>
            <w:tcW w:w="989"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520</w:t>
            </w:r>
            <w:r w:rsidRPr="002720C2">
              <w:rPr>
                <w:rStyle w:val="CommentReference"/>
                <w:w w:val="50"/>
                <w:lang w:val="en-GB"/>
              </w:rPr>
              <w:t> </w:t>
            </w:r>
            <w:r w:rsidRPr="002720C2">
              <w:rPr>
                <w:rFonts w:eastAsia="Times New Roman" w:cs="Times New Roman"/>
                <w:bCs/>
                <w:sz w:val="20"/>
                <w:szCs w:val="20"/>
                <w:lang w:val="en-GB"/>
              </w:rPr>
              <w:t xml:space="preserve">617 </w:t>
            </w:r>
          </w:p>
        </w:tc>
        <w:tc>
          <w:tcPr>
            <w:tcW w:w="993"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494</w:t>
            </w:r>
            <w:r w:rsidRPr="002720C2">
              <w:rPr>
                <w:rStyle w:val="CommentReference"/>
                <w:w w:val="50"/>
                <w:lang w:val="en-GB"/>
              </w:rPr>
              <w:t> </w:t>
            </w:r>
            <w:r w:rsidRPr="002720C2">
              <w:rPr>
                <w:rFonts w:eastAsia="Times New Roman" w:cs="Times New Roman"/>
                <w:bCs/>
                <w:sz w:val="20"/>
                <w:szCs w:val="20"/>
                <w:lang w:val="en-GB"/>
              </w:rPr>
              <w:t xml:space="preserve">550 </w:t>
            </w:r>
          </w:p>
        </w:tc>
        <w:tc>
          <w:tcPr>
            <w:tcW w:w="1078" w:type="dxa"/>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257"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384</w:t>
            </w:r>
            <w:r w:rsidRPr="002720C2">
              <w:rPr>
                <w:rStyle w:val="CommentReference"/>
                <w:w w:val="50"/>
                <w:lang w:val="en-GB"/>
              </w:rPr>
              <w:t> </w:t>
            </w:r>
            <w:r w:rsidRPr="002720C2">
              <w:rPr>
                <w:rFonts w:eastAsia="Times New Roman" w:cs="Times New Roman"/>
                <w:bCs/>
                <w:sz w:val="20"/>
                <w:szCs w:val="20"/>
                <w:lang w:val="en-GB"/>
              </w:rPr>
              <w:t xml:space="preserve">520 </w:t>
            </w:r>
          </w:p>
        </w:tc>
      </w:tr>
      <w:tr w:rsidR="007D0138" w:rsidRPr="002720C2" w:rsidTr="001A7A6C">
        <w:trPr>
          <w:trHeight w:val="315"/>
          <w:jc w:val="right"/>
        </w:trPr>
        <w:tc>
          <w:tcPr>
            <w:tcW w:w="1317" w:type="dxa"/>
            <w:shd w:val="clear" w:color="auto" w:fill="F6E2A3"/>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October</w:t>
            </w:r>
            <w:r w:rsidRPr="002720C2">
              <w:rPr>
                <w:rFonts w:eastAsia="Times New Roman" w:cs="Times New Roman"/>
                <w:bCs/>
                <w:sz w:val="20"/>
                <w:szCs w:val="20"/>
                <w:lang w:val="en-GB"/>
              </w:rPr>
              <w:t xml:space="preserve"> </w:t>
            </w:r>
          </w:p>
        </w:tc>
        <w:tc>
          <w:tcPr>
            <w:tcW w:w="992" w:type="dxa"/>
            <w:shd w:val="clear" w:color="auto" w:fill="F6E2A3"/>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78"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22"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46"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89"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93"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78" w:type="dxa"/>
            <w:shd w:val="clear" w:color="auto" w:fill="F6E2A3"/>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 xml:space="preserve">438990 </w:t>
            </w:r>
          </w:p>
        </w:tc>
        <w:tc>
          <w:tcPr>
            <w:tcW w:w="1257"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r>
      <w:tr w:rsidR="007D0138" w:rsidRPr="002720C2" w:rsidTr="001A7A6C">
        <w:trPr>
          <w:trHeight w:val="315"/>
          <w:jc w:val="right"/>
        </w:trPr>
        <w:tc>
          <w:tcPr>
            <w:tcW w:w="1317" w:type="dxa"/>
            <w:noWrap/>
            <w:vAlign w:val="center"/>
            <w:hideMark/>
          </w:tcPr>
          <w:p w:rsidR="007D0138" w:rsidRPr="002720C2" w:rsidRDefault="007D0138" w:rsidP="001A7A6C">
            <w:pPr>
              <w:spacing w:line="225" w:lineRule="atLeast"/>
              <w:rPr>
                <w:rFonts w:eastAsia="Times New Roman" w:cs="Times New Roman"/>
                <w:bCs/>
                <w:sz w:val="20"/>
                <w:szCs w:val="20"/>
                <w:lang w:val="en-GB"/>
              </w:rPr>
            </w:pPr>
            <w:r w:rsidRPr="002720C2">
              <w:rPr>
                <w:rFonts w:eastAsia="Times New Roman" w:cs="Times New Roman"/>
                <w:b/>
                <w:sz w:val="20"/>
                <w:szCs w:val="20"/>
                <w:lang w:val="en-GB"/>
              </w:rPr>
              <w:t>November</w:t>
            </w:r>
            <w:r w:rsidRPr="002720C2">
              <w:rPr>
                <w:rFonts w:eastAsia="Times New Roman" w:cs="Times New Roman"/>
                <w:bCs/>
                <w:sz w:val="20"/>
                <w:szCs w:val="20"/>
                <w:lang w:val="en-GB"/>
              </w:rPr>
              <w:t xml:space="preserve"> </w:t>
            </w:r>
          </w:p>
        </w:tc>
        <w:tc>
          <w:tcPr>
            <w:tcW w:w="992" w:type="dxa"/>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78"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261</w:t>
            </w:r>
            <w:r w:rsidRPr="002720C2">
              <w:rPr>
                <w:rStyle w:val="CommentReference"/>
                <w:w w:val="50"/>
                <w:lang w:val="en-GB"/>
              </w:rPr>
              <w:t> </w:t>
            </w:r>
            <w:r w:rsidRPr="002720C2">
              <w:rPr>
                <w:rFonts w:eastAsia="Times New Roman" w:cs="Times New Roman"/>
                <w:bCs/>
                <w:sz w:val="20"/>
                <w:szCs w:val="20"/>
                <w:lang w:val="en-GB"/>
              </w:rPr>
              <w:t xml:space="preserve">802 </w:t>
            </w:r>
          </w:p>
        </w:tc>
        <w:tc>
          <w:tcPr>
            <w:tcW w:w="1022"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246</w:t>
            </w:r>
            <w:r w:rsidRPr="002720C2">
              <w:rPr>
                <w:rStyle w:val="CommentReference"/>
                <w:w w:val="50"/>
                <w:lang w:val="en-GB"/>
              </w:rPr>
              <w:t> </w:t>
            </w:r>
            <w:r w:rsidRPr="002720C2">
              <w:rPr>
                <w:rFonts w:eastAsia="Times New Roman" w:cs="Times New Roman"/>
                <w:bCs/>
                <w:sz w:val="20"/>
                <w:szCs w:val="20"/>
                <w:lang w:val="en-GB"/>
              </w:rPr>
              <w:t xml:space="preserve">079 </w:t>
            </w:r>
          </w:p>
        </w:tc>
        <w:tc>
          <w:tcPr>
            <w:tcW w:w="1046"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455</w:t>
            </w:r>
            <w:r w:rsidRPr="002720C2">
              <w:rPr>
                <w:rStyle w:val="CommentReference"/>
                <w:w w:val="50"/>
                <w:lang w:val="en-GB"/>
              </w:rPr>
              <w:t> </w:t>
            </w:r>
            <w:r w:rsidRPr="002720C2">
              <w:rPr>
                <w:rFonts w:eastAsia="Times New Roman" w:cs="Times New Roman"/>
                <w:bCs/>
                <w:sz w:val="20"/>
                <w:szCs w:val="20"/>
                <w:lang w:val="en-GB"/>
              </w:rPr>
              <w:t xml:space="preserve">139 </w:t>
            </w:r>
          </w:p>
        </w:tc>
        <w:tc>
          <w:tcPr>
            <w:tcW w:w="989"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538</w:t>
            </w:r>
            <w:r w:rsidRPr="002720C2">
              <w:rPr>
                <w:rStyle w:val="CommentReference"/>
                <w:w w:val="50"/>
                <w:lang w:val="en-GB"/>
              </w:rPr>
              <w:t> </w:t>
            </w:r>
            <w:r w:rsidRPr="002720C2">
              <w:rPr>
                <w:rFonts w:eastAsia="Times New Roman" w:cs="Times New Roman"/>
                <w:bCs/>
                <w:sz w:val="20"/>
                <w:szCs w:val="20"/>
                <w:lang w:val="en-GB"/>
              </w:rPr>
              <w:t xml:space="preserve">491 </w:t>
            </w:r>
          </w:p>
        </w:tc>
        <w:tc>
          <w:tcPr>
            <w:tcW w:w="993"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505</w:t>
            </w:r>
            <w:r w:rsidRPr="002720C2">
              <w:rPr>
                <w:rStyle w:val="CommentReference"/>
                <w:w w:val="50"/>
                <w:lang w:val="en-GB"/>
              </w:rPr>
              <w:t> </w:t>
            </w:r>
            <w:r w:rsidRPr="002720C2">
              <w:rPr>
                <w:rFonts w:eastAsia="Times New Roman" w:cs="Times New Roman"/>
                <w:bCs/>
                <w:sz w:val="20"/>
                <w:szCs w:val="20"/>
                <w:lang w:val="en-GB"/>
              </w:rPr>
              <w:t xml:space="preserve">544 </w:t>
            </w:r>
          </w:p>
        </w:tc>
        <w:tc>
          <w:tcPr>
            <w:tcW w:w="1078" w:type="dxa"/>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257" w:type="dxa"/>
            <w:noWrap/>
            <w:vAlign w:val="center"/>
            <w:hideMark/>
          </w:tcPr>
          <w:p w:rsidR="007D0138" w:rsidRPr="002720C2" w:rsidRDefault="007D0138" w:rsidP="001A7A6C">
            <w:pPr>
              <w:spacing w:line="225" w:lineRule="atLeast"/>
              <w:jc w:val="center"/>
              <w:rPr>
                <w:rFonts w:eastAsia="Times New Roman" w:cs="Times New Roman"/>
                <w:bCs/>
                <w:sz w:val="20"/>
                <w:szCs w:val="20"/>
                <w:lang w:val="en-GB"/>
              </w:rPr>
            </w:pPr>
            <w:r w:rsidRPr="002720C2">
              <w:rPr>
                <w:rFonts w:eastAsia="Times New Roman" w:cs="Times New Roman"/>
                <w:bCs/>
                <w:sz w:val="20"/>
                <w:szCs w:val="20"/>
                <w:lang w:val="en-GB"/>
              </w:rPr>
              <w:t>390</w:t>
            </w:r>
            <w:r w:rsidRPr="002720C2">
              <w:rPr>
                <w:rStyle w:val="CommentReference"/>
                <w:w w:val="50"/>
                <w:lang w:val="en-GB"/>
              </w:rPr>
              <w:t> </w:t>
            </w:r>
            <w:r w:rsidRPr="002720C2">
              <w:rPr>
                <w:rFonts w:eastAsia="Times New Roman" w:cs="Times New Roman"/>
                <w:bCs/>
                <w:sz w:val="20"/>
                <w:szCs w:val="20"/>
                <w:lang w:val="en-GB"/>
              </w:rPr>
              <w:t xml:space="preserve">005 </w:t>
            </w:r>
          </w:p>
        </w:tc>
      </w:tr>
      <w:tr w:rsidR="007D0138" w:rsidRPr="002720C2" w:rsidTr="001A7A6C">
        <w:trPr>
          <w:trHeight w:val="330"/>
          <w:jc w:val="right"/>
        </w:trPr>
        <w:tc>
          <w:tcPr>
            <w:tcW w:w="1317" w:type="dxa"/>
            <w:shd w:val="clear" w:color="auto" w:fill="F6E2A3"/>
            <w:noWrap/>
            <w:vAlign w:val="center"/>
            <w:hideMark/>
          </w:tcPr>
          <w:p w:rsidR="007D0138" w:rsidRPr="002720C2" w:rsidRDefault="007D0138" w:rsidP="001A7A6C">
            <w:pPr>
              <w:spacing w:line="240" w:lineRule="atLeast"/>
              <w:rPr>
                <w:rFonts w:eastAsia="Times New Roman" w:cs="Times New Roman"/>
                <w:bCs/>
                <w:sz w:val="20"/>
                <w:szCs w:val="20"/>
                <w:lang w:val="en-GB"/>
              </w:rPr>
            </w:pPr>
            <w:r w:rsidRPr="002720C2">
              <w:rPr>
                <w:rFonts w:eastAsia="Times New Roman" w:cs="Times New Roman"/>
                <w:b/>
                <w:sz w:val="20"/>
                <w:szCs w:val="20"/>
                <w:lang w:val="en-GB"/>
              </w:rPr>
              <w:t>December</w:t>
            </w:r>
            <w:r w:rsidRPr="002720C2">
              <w:rPr>
                <w:rFonts w:eastAsia="Times New Roman" w:cs="Times New Roman"/>
                <w:bCs/>
                <w:sz w:val="20"/>
                <w:szCs w:val="20"/>
                <w:lang w:val="en-GB"/>
              </w:rPr>
              <w:t xml:space="preserve"> </w:t>
            </w:r>
          </w:p>
        </w:tc>
        <w:tc>
          <w:tcPr>
            <w:tcW w:w="992" w:type="dxa"/>
            <w:shd w:val="clear" w:color="auto" w:fill="F6E2A3"/>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78"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22" w:type="dxa"/>
            <w:shd w:val="clear" w:color="auto" w:fill="F6E2A3"/>
            <w:noWrap/>
            <w:vAlign w:val="center"/>
            <w:hideMark/>
          </w:tcPr>
          <w:p w:rsidR="007D0138" w:rsidRPr="002720C2" w:rsidRDefault="007D0138" w:rsidP="001A7A6C">
            <w:pPr>
              <w:spacing w:line="240" w:lineRule="auto"/>
              <w:contextualSpacing/>
              <w:jc w:val="center"/>
              <w:rPr>
                <w:color w:val="000000"/>
                <w:sz w:val="20"/>
                <w:szCs w:val="20"/>
                <w:lang w:val="en-GB" w:eastAsia="en-US"/>
              </w:rPr>
            </w:pPr>
          </w:p>
        </w:tc>
        <w:tc>
          <w:tcPr>
            <w:tcW w:w="1046"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89"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993"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c>
          <w:tcPr>
            <w:tcW w:w="1078" w:type="dxa"/>
            <w:shd w:val="clear" w:color="auto" w:fill="F6E2A3"/>
            <w:noWrap/>
            <w:vAlign w:val="center"/>
            <w:hideMark/>
          </w:tcPr>
          <w:p w:rsidR="007D0138" w:rsidRPr="002720C2" w:rsidRDefault="007D0138" w:rsidP="001A7A6C">
            <w:pPr>
              <w:spacing w:line="240" w:lineRule="atLeast"/>
              <w:jc w:val="center"/>
              <w:rPr>
                <w:rFonts w:eastAsia="Times New Roman" w:cs="Times New Roman"/>
                <w:bCs/>
                <w:sz w:val="20"/>
                <w:szCs w:val="20"/>
                <w:lang w:val="en-GB"/>
              </w:rPr>
            </w:pPr>
            <w:r w:rsidRPr="002720C2">
              <w:rPr>
                <w:rFonts w:eastAsia="Times New Roman" w:cs="Times New Roman"/>
                <w:bCs/>
                <w:sz w:val="20"/>
                <w:szCs w:val="20"/>
                <w:lang w:val="en-GB"/>
              </w:rPr>
              <w:t>444</w:t>
            </w:r>
            <w:r w:rsidRPr="002720C2">
              <w:rPr>
                <w:rStyle w:val="CommentReference"/>
                <w:w w:val="50"/>
                <w:lang w:val="en-GB"/>
              </w:rPr>
              <w:t> </w:t>
            </w:r>
            <w:r w:rsidRPr="002720C2">
              <w:rPr>
                <w:rFonts w:eastAsia="Times New Roman" w:cs="Times New Roman"/>
                <w:bCs/>
                <w:sz w:val="20"/>
                <w:szCs w:val="20"/>
                <w:lang w:val="en-GB"/>
              </w:rPr>
              <w:t xml:space="preserve">743 </w:t>
            </w:r>
          </w:p>
        </w:tc>
        <w:tc>
          <w:tcPr>
            <w:tcW w:w="1257" w:type="dxa"/>
            <w:shd w:val="clear" w:color="auto" w:fill="F6E2A3"/>
            <w:noWrap/>
            <w:vAlign w:val="center"/>
            <w:hideMark/>
          </w:tcPr>
          <w:p w:rsidR="007D0138" w:rsidRPr="002720C2" w:rsidRDefault="007D0138" w:rsidP="001A7A6C">
            <w:pPr>
              <w:spacing w:line="240" w:lineRule="auto"/>
              <w:rPr>
                <w:rFonts w:eastAsia="Times New Roman" w:cs="Times New Roman"/>
                <w:bCs/>
                <w:sz w:val="20"/>
                <w:szCs w:val="20"/>
                <w:lang w:val="en-GB"/>
              </w:rPr>
            </w:pPr>
          </w:p>
        </w:tc>
      </w:tr>
    </w:tbl>
    <w:p w:rsidR="00375835" w:rsidRPr="002720C2" w:rsidRDefault="001A7A6C" w:rsidP="001A7A6C">
      <w:pPr>
        <w:rPr>
          <w:rFonts w:eastAsia="Times New Roman" w:cs="Times New Roman"/>
          <w:bCs/>
          <w:sz w:val="20"/>
          <w:szCs w:val="20"/>
          <w:lang w:val="en-GB"/>
        </w:rPr>
      </w:pPr>
      <w:r>
        <w:rPr>
          <w:rFonts w:eastAsia="Times New Roman" w:cs="Times New Roman"/>
          <w:bCs/>
          <w:sz w:val="22"/>
          <w:lang w:val="en-GB"/>
        </w:rPr>
        <w:t xml:space="preserve">       </w:t>
      </w:r>
      <w:r w:rsidR="00375835" w:rsidRPr="002720C2">
        <w:rPr>
          <w:rFonts w:eastAsia="Times New Roman" w:cs="Times New Roman"/>
          <w:bCs/>
          <w:i/>
          <w:iCs/>
          <w:sz w:val="20"/>
          <w:szCs w:val="20"/>
          <w:lang w:val="en-GB"/>
        </w:rPr>
        <w:t>Source:</w:t>
      </w:r>
      <w:r w:rsidR="00375835" w:rsidRPr="002720C2">
        <w:rPr>
          <w:rFonts w:eastAsia="Times New Roman" w:cs="Times New Roman"/>
          <w:bCs/>
          <w:sz w:val="20"/>
          <w:szCs w:val="20"/>
          <w:lang w:val="en-GB"/>
        </w:rPr>
        <w:t xml:space="preserve"> State Enterprise Lithuanian Agricultural and Food Market Regulation Agency</w:t>
      </w:r>
    </w:p>
    <w:p w:rsidR="00596FDB" w:rsidRPr="002720C2" w:rsidRDefault="006832C0" w:rsidP="00440F15">
      <w:pPr>
        <w:ind w:left="363"/>
        <w:rPr>
          <w:sz w:val="20"/>
          <w:szCs w:val="20"/>
          <w:lang w:val="en-GB"/>
        </w:rPr>
      </w:pPr>
      <w:hyperlink r:id="rId11" w:history="1">
        <w:r w:rsidR="00596FDB" w:rsidRPr="002720C2">
          <w:rPr>
            <w:rStyle w:val="Hyperlink"/>
            <w:sz w:val="20"/>
            <w:szCs w:val="20"/>
            <w:lang w:val="en-GB"/>
          </w:rPr>
          <w:t>http://www.litfood.lt/Lists/Publications/AllItems.aspx?RootFolder=http%3a%2f%2fwww%2elitfood%2elt%2fLists%2fPublications%2fPagalba%20maisto%20produktais%2fStatistika&amp;FolderCTID=0x012000EF8B28BBC9FD604F9F45357A684ABF67</w:t>
        </w:r>
      </w:hyperlink>
      <w:r w:rsidR="00596FDB" w:rsidRPr="002720C2">
        <w:rPr>
          <w:sz w:val="20"/>
          <w:szCs w:val="20"/>
          <w:lang w:val="en-GB"/>
        </w:rPr>
        <w:t>.</w:t>
      </w:r>
    </w:p>
    <w:p w:rsidR="00096754" w:rsidRPr="002720C2" w:rsidRDefault="003E1532" w:rsidP="00EB70C6">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 xml:space="preserve">So the measures supported by the </w:t>
      </w:r>
      <w:r w:rsidRPr="002720C2">
        <w:rPr>
          <w:sz w:val="22"/>
          <w:lang w:val="en-GB"/>
        </w:rPr>
        <w:t>Fund for European Aid to the Most Deprived</w:t>
      </w:r>
      <w:r w:rsidRPr="002720C2">
        <w:rPr>
          <w:rFonts w:asciiTheme="minorHAnsi" w:eastAsia="Times New Roman" w:hAnsiTheme="minorHAnsi" w:cs="Times New Roman"/>
          <w:sz w:val="22"/>
          <w:lang w:val="en-GB"/>
        </w:rPr>
        <w:t xml:space="preserve"> that will replace the </w:t>
      </w:r>
      <w:r w:rsidR="00EB70C6">
        <w:rPr>
          <w:rFonts w:eastAsia="Times New Roman" w:cs="Times New Roman"/>
          <w:bCs/>
          <w:sz w:val="22"/>
          <w:lang w:val="en-GB"/>
        </w:rPr>
        <w:t>Food Distribution Programme from Intervention Stocks for the Most Deprived Persons</w:t>
      </w:r>
      <w:r w:rsidR="00EB70C6" w:rsidRPr="002720C2">
        <w:rPr>
          <w:rFonts w:eastAsia="Times New Roman" w:cs="Times New Roman"/>
          <w:bCs/>
          <w:sz w:val="22"/>
          <w:lang w:val="en-GB"/>
        </w:rPr>
        <w:t xml:space="preserve"> </w:t>
      </w:r>
      <w:r w:rsidRPr="002720C2">
        <w:rPr>
          <w:rFonts w:eastAsia="Times New Roman" w:cs="Times New Roman"/>
          <w:bCs/>
          <w:sz w:val="22"/>
          <w:lang w:val="en-GB"/>
        </w:rPr>
        <w:t xml:space="preserve">remain not only relevant, but, due to a broader list of supported activities, have the potential to alleviate forms of extreme poverty and to </w:t>
      </w:r>
      <w:r w:rsidR="00EB70C6">
        <w:rPr>
          <w:rFonts w:eastAsia="Times New Roman" w:cs="Times New Roman"/>
          <w:bCs/>
          <w:sz w:val="22"/>
          <w:lang w:val="en-GB"/>
        </w:rPr>
        <w:t>create</w:t>
      </w:r>
      <w:r w:rsidRPr="002720C2">
        <w:rPr>
          <w:rFonts w:eastAsia="Times New Roman" w:cs="Times New Roman"/>
          <w:bCs/>
          <w:sz w:val="22"/>
          <w:lang w:val="en-GB"/>
        </w:rPr>
        <w:t xml:space="preserve"> conditions for such persons to get involved in social inclusion and employment promotion activities. In previous periods, the basic consumer goods assistance was not </w:t>
      </w:r>
      <w:r w:rsidRPr="002720C2">
        <w:rPr>
          <w:rFonts w:eastAsia="Times New Roman" w:cs="Times New Roman"/>
          <w:bCs/>
          <w:sz w:val="22"/>
          <w:lang w:val="en-GB"/>
        </w:rPr>
        <w:lastRenderedPageBreak/>
        <w:t>available, yet interviews with stakeholders show that there is a need for such support</w:t>
      </w:r>
      <w:r w:rsidRPr="002720C2">
        <w:rPr>
          <w:rStyle w:val="FootnoteReference"/>
          <w:rFonts w:cs="Arial"/>
          <w:sz w:val="22"/>
          <w:lang w:val="en-GB"/>
        </w:rPr>
        <w:footnoteReference w:id="15"/>
      </w:r>
      <w:r w:rsidRPr="002720C2">
        <w:rPr>
          <w:rFonts w:eastAsia="Times New Roman" w:cs="Times New Roman"/>
          <w:bCs/>
          <w:sz w:val="22"/>
          <w:lang w:val="en-GB"/>
        </w:rPr>
        <w:t>, although it is recognised that distribution of food must be prioritised</w:t>
      </w:r>
      <w:r w:rsidRPr="002720C2">
        <w:rPr>
          <w:rStyle w:val="FootnoteReference"/>
          <w:rFonts w:cs="Arial"/>
          <w:sz w:val="22"/>
          <w:lang w:val="en-GB"/>
        </w:rPr>
        <w:footnoteReference w:id="16"/>
      </w:r>
      <w:r w:rsidRPr="002720C2">
        <w:rPr>
          <w:rFonts w:eastAsia="Times New Roman" w:cs="Times New Roman"/>
          <w:bCs/>
          <w:sz w:val="22"/>
          <w:lang w:val="en-GB"/>
        </w:rPr>
        <w:t xml:space="preserve">. However, when providing support by distributing hygiene products (about 30% of the total funds are allocated to this activity), additional costs for the execution and administration of such activity incurred by project </w:t>
      </w:r>
      <w:r w:rsidR="00B85C29">
        <w:rPr>
          <w:rFonts w:eastAsia="Times New Roman" w:cs="Times New Roman"/>
          <w:bCs/>
          <w:sz w:val="22"/>
          <w:lang w:val="en-GB"/>
        </w:rPr>
        <w:t xml:space="preserve">managers </w:t>
      </w:r>
      <w:r w:rsidRPr="002720C2">
        <w:rPr>
          <w:rFonts w:eastAsia="Times New Roman" w:cs="Times New Roman"/>
          <w:bCs/>
          <w:sz w:val="22"/>
          <w:lang w:val="en-GB"/>
        </w:rPr>
        <w:t>and partner organisations must be evaluated. In order that sanitary regulations are complied with and cross-contamination is prevented, such basic consumer goods as hygiene products should be transported and stored separately from food, thus increasing administration costs of the support provided by the Fund. In additi</w:t>
      </w:r>
      <w:r w:rsidR="008623F4">
        <w:rPr>
          <w:rFonts w:eastAsia="Times New Roman" w:cs="Times New Roman"/>
          <w:bCs/>
          <w:sz w:val="22"/>
          <w:lang w:val="en-GB"/>
        </w:rPr>
        <w:t>on, it is planned in the draft Operational P</w:t>
      </w:r>
      <w:r w:rsidRPr="002720C2">
        <w:rPr>
          <w:rFonts w:eastAsia="Times New Roman" w:cs="Times New Roman"/>
          <w:bCs/>
          <w:sz w:val="22"/>
          <w:lang w:val="en-GB"/>
        </w:rPr>
        <w:t>rogramme that hygiene goods will be provided regardless of individual needs of people, yet there is a lack of information about the target group, specific goods (types) and the justification that such support will be used for its intended purpose</w:t>
      </w:r>
      <w:r w:rsidR="006A5AFE" w:rsidRPr="002720C2">
        <w:rPr>
          <w:rFonts w:eastAsia="Times New Roman" w:cs="Times New Roman"/>
          <w:bCs/>
          <w:sz w:val="22"/>
          <w:lang w:val="en-GB"/>
        </w:rPr>
        <w:t xml:space="preserve">. </w:t>
      </w:r>
    </w:p>
    <w:tbl>
      <w:tblPr>
        <w:tblStyle w:val="VPVILentele1"/>
        <w:tblW w:w="0" w:type="auto"/>
        <w:tblInd w:w="534" w:type="dxa"/>
        <w:tblLook w:val="04A0" w:firstRow="1" w:lastRow="0" w:firstColumn="1" w:lastColumn="0" w:noHBand="0" w:noVBand="1"/>
      </w:tblPr>
      <w:tblGrid>
        <w:gridCol w:w="9768"/>
      </w:tblGrid>
      <w:tr w:rsidR="00085DAE" w:rsidRPr="002720C2" w:rsidTr="00440F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68" w:type="dxa"/>
          </w:tcPr>
          <w:p w:rsidR="00085DAE" w:rsidRPr="002720C2" w:rsidRDefault="007C1273" w:rsidP="00B85C29">
            <w:pPr>
              <w:spacing w:before="100" w:beforeAutospacing="1" w:after="100" w:afterAutospacing="1"/>
              <w:jc w:val="both"/>
              <w:rPr>
                <w:lang w:val="en-GB"/>
              </w:rPr>
            </w:pPr>
            <w:r w:rsidRPr="002720C2">
              <w:rPr>
                <w:lang w:val="en-GB"/>
              </w:rPr>
              <w:t>Taken into account</w:t>
            </w:r>
          </w:p>
        </w:tc>
      </w:tr>
      <w:tr w:rsidR="00085DAE" w:rsidRPr="002720C2" w:rsidTr="00440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8" w:type="dxa"/>
          </w:tcPr>
          <w:p w:rsidR="00085DAE" w:rsidRPr="002720C2" w:rsidRDefault="006A5AFE" w:rsidP="00B85C29">
            <w:pPr>
              <w:spacing w:before="100" w:beforeAutospacing="1" w:after="100" w:afterAutospacing="1"/>
              <w:jc w:val="both"/>
              <w:rPr>
                <w:sz w:val="22"/>
                <w:lang w:val="en-GB"/>
              </w:rPr>
            </w:pPr>
            <w:r w:rsidRPr="002720C2">
              <w:rPr>
                <w:rFonts w:eastAsia="Times New Roman" w:cs="Times New Roman"/>
                <w:b/>
                <w:sz w:val="22"/>
                <w:lang w:val="en-GB"/>
              </w:rPr>
              <w:t>Recommendation 2.</w:t>
            </w:r>
            <w:r w:rsidRPr="002720C2">
              <w:rPr>
                <w:rFonts w:eastAsia="Times New Roman" w:cs="Times New Roman"/>
                <w:bCs/>
                <w:sz w:val="22"/>
                <w:lang w:val="en-GB"/>
              </w:rPr>
              <w:t xml:space="preserve"> </w:t>
            </w:r>
            <w:r w:rsidR="008623F4">
              <w:rPr>
                <w:rFonts w:eastAsia="Times New Roman" w:cs="Times New Roman"/>
                <w:bCs/>
                <w:sz w:val="22"/>
                <w:lang w:val="en-GB"/>
              </w:rPr>
              <w:t>To supplement the draft Operational P</w:t>
            </w:r>
            <w:r w:rsidR="00A473BF" w:rsidRPr="002720C2">
              <w:rPr>
                <w:rFonts w:eastAsia="Times New Roman" w:cs="Times New Roman"/>
                <w:bCs/>
                <w:sz w:val="22"/>
                <w:lang w:val="en-GB"/>
              </w:rPr>
              <w:t xml:space="preserve">rogramme </w:t>
            </w:r>
            <w:r w:rsidR="00B85C29">
              <w:rPr>
                <w:rFonts w:eastAsia="Times New Roman" w:cs="Times New Roman"/>
                <w:bCs/>
                <w:sz w:val="22"/>
                <w:lang w:val="en-GB"/>
              </w:rPr>
              <w:t xml:space="preserve">by </w:t>
            </w:r>
            <w:r w:rsidR="00B85C29" w:rsidRPr="002720C2">
              <w:rPr>
                <w:rFonts w:eastAsia="Times New Roman" w:cs="Times New Roman"/>
                <w:bCs/>
                <w:sz w:val="22"/>
                <w:lang w:val="en-GB"/>
              </w:rPr>
              <w:t xml:space="preserve">the information </w:t>
            </w:r>
            <w:r w:rsidR="00A473BF" w:rsidRPr="002720C2">
              <w:rPr>
                <w:rFonts w:eastAsia="Times New Roman" w:cs="Times New Roman"/>
                <w:bCs/>
                <w:sz w:val="22"/>
                <w:lang w:val="en-GB"/>
              </w:rPr>
              <w:t xml:space="preserve">regarding the planned </w:t>
            </w:r>
            <w:r w:rsidR="00B85C29">
              <w:rPr>
                <w:rFonts w:eastAsia="Times New Roman" w:cs="Times New Roman"/>
                <w:bCs/>
                <w:sz w:val="22"/>
                <w:lang w:val="en-GB"/>
              </w:rPr>
              <w:t xml:space="preserve">Fund’s </w:t>
            </w:r>
            <w:r w:rsidR="00A473BF" w:rsidRPr="002720C2">
              <w:rPr>
                <w:rFonts w:eastAsia="Times New Roman" w:cs="Times New Roman"/>
                <w:bCs/>
                <w:sz w:val="22"/>
                <w:lang w:val="en-GB"/>
              </w:rPr>
              <w:t xml:space="preserve">support for distributing basic consumer goods (hygiene goods) and properly </w:t>
            </w:r>
            <w:r w:rsidR="00B85C29">
              <w:rPr>
                <w:rFonts w:eastAsia="Times New Roman" w:cs="Times New Roman"/>
                <w:bCs/>
                <w:sz w:val="22"/>
                <w:lang w:val="en-GB"/>
              </w:rPr>
              <w:t>justify</w:t>
            </w:r>
            <w:r w:rsidR="00A473BF" w:rsidRPr="002720C2">
              <w:rPr>
                <w:rFonts w:eastAsia="Times New Roman" w:cs="Times New Roman"/>
                <w:bCs/>
                <w:sz w:val="22"/>
                <w:lang w:val="en-GB"/>
              </w:rPr>
              <w:t xml:space="preserve"> the selected mechanism for distribution of the support, which is not directed to satisfying individual needs of beneficiaries</w:t>
            </w:r>
            <w:r w:rsidRPr="002720C2">
              <w:rPr>
                <w:rFonts w:eastAsia="Times New Roman" w:cs="Times New Roman"/>
                <w:bCs/>
                <w:sz w:val="22"/>
                <w:lang w:val="en-GB"/>
              </w:rPr>
              <w:t>.</w:t>
            </w:r>
            <w:r w:rsidR="002060C6" w:rsidRPr="002720C2">
              <w:rPr>
                <w:sz w:val="22"/>
                <w:lang w:val="en-GB"/>
              </w:rPr>
              <w:t xml:space="preserve"> </w:t>
            </w:r>
          </w:p>
        </w:tc>
      </w:tr>
    </w:tbl>
    <w:p w:rsidR="0067765D" w:rsidRPr="002720C2" w:rsidRDefault="006F30A4" w:rsidP="00681609">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 xml:space="preserve">The </w:t>
      </w:r>
      <w:r w:rsidR="00947104">
        <w:rPr>
          <w:rFonts w:eastAsia="Times New Roman" w:cs="Times New Roman"/>
          <w:bCs/>
          <w:sz w:val="22"/>
          <w:lang w:val="en-GB"/>
        </w:rPr>
        <w:t xml:space="preserve">draft OP </w:t>
      </w:r>
      <w:r w:rsidRPr="002720C2">
        <w:rPr>
          <w:rFonts w:eastAsia="Times New Roman" w:cs="Times New Roman"/>
          <w:bCs/>
          <w:sz w:val="22"/>
          <w:lang w:val="en-GB"/>
        </w:rPr>
        <w:t xml:space="preserve">indicates that the accompanying activities (e.g. </w:t>
      </w:r>
      <w:r w:rsidR="004D4190" w:rsidRPr="002720C2">
        <w:rPr>
          <w:rFonts w:eastAsia="Times New Roman" w:cs="Times New Roman"/>
          <w:bCs/>
          <w:sz w:val="22"/>
          <w:lang w:val="en-GB"/>
        </w:rPr>
        <w:t>guidance</w:t>
      </w:r>
      <w:r w:rsidRPr="002720C2">
        <w:rPr>
          <w:rFonts w:eastAsia="Times New Roman" w:cs="Times New Roman"/>
          <w:bCs/>
          <w:sz w:val="22"/>
          <w:lang w:val="en-GB"/>
        </w:rPr>
        <w:t>) will be implemented by partner organisations using funds other than those from the Fund, but execution of accompanying</w:t>
      </w:r>
      <w:r w:rsidR="00B85C29">
        <w:rPr>
          <w:rFonts w:eastAsia="Times New Roman" w:cs="Times New Roman"/>
          <w:bCs/>
          <w:sz w:val="22"/>
          <w:lang w:val="en-GB"/>
        </w:rPr>
        <w:t xml:space="preserve"> activities is not compulsory for</w:t>
      </w:r>
      <w:r w:rsidRPr="002720C2">
        <w:rPr>
          <w:rFonts w:eastAsia="Times New Roman" w:cs="Times New Roman"/>
          <w:bCs/>
          <w:sz w:val="22"/>
          <w:lang w:val="en-GB"/>
        </w:rPr>
        <w:t xml:space="preserve"> partner organisations. Thus, </w:t>
      </w:r>
      <w:r w:rsidR="004D4190" w:rsidRPr="002720C2">
        <w:rPr>
          <w:rFonts w:eastAsia="Times New Roman" w:cs="Times New Roman"/>
          <w:bCs/>
          <w:sz w:val="22"/>
          <w:lang w:val="en-GB"/>
        </w:rPr>
        <w:t>guidance</w:t>
      </w:r>
      <w:r w:rsidRPr="002720C2">
        <w:rPr>
          <w:rFonts w:eastAsia="Times New Roman" w:cs="Times New Roman"/>
          <w:bCs/>
          <w:sz w:val="22"/>
          <w:lang w:val="en-GB"/>
        </w:rPr>
        <w:t xml:space="preserve"> and other support to beneficiaries, which could help address the causes of poverty and involve representatives of the target group in activities for promoting employment and social inclusion and which is to be financed from other sources, will depend on initiatives and capacities (human and financial) of the partner organisations to carry out such activities. Currently, not all organisations involved in the supply of food </w:t>
      </w:r>
      <w:r w:rsidR="00B85C29">
        <w:rPr>
          <w:rFonts w:eastAsia="Times New Roman" w:cs="Times New Roman"/>
          <w:bCs/>
          <w:sz w:val="22"/>
          <w:lang w:val="en-GB"/>
        </w:rPr>
        <w:t xml:space="preserve">are </w:t>
      </w:r>
      <w:r w:rsidRPr="002720C2">
        <w:rPr>
          <w:rFonts w:eastAsia="Times New Roman" w:cs="Times New Roman"/>
          <w:bCs/>
          <w:sz w:val="22"/>
          <w:lang w:val="en-GB"/>
        </w:rPr>
        <w:t>plan</w:t>
      </w:r>
      <w:r w:rsidR="00B85C29">
        <w:rPr>
          <w:rFonts w:eastAsia="Times New Roman" w:cs="Times New Roman"/>
          <w:bCs/>
          <w:sz w:val="22"/>
          <w:lang w:val="en-GB"/>
        </w:rPr>
        <w:t>ning</w:t>
      </w:r>
      <w:r w:rsidRPr="002720C2">
        <w:rPr>
          <w:rFonts w:eastAsia="Times New Roman" w:cs="Times New Roman"/>
          <w:bCs/>
          <w:sz w:val="22"/>
          <w:lang w:val="en-GB"/>
        </w:rPr>
        <w:t xml:space="preserve"> to additionally provide </w:t>
      </w:r>
      <w:r w:rsidR="004D4190" w:rsidRPr="002720C2">
        <w:rPr>
          <w:rFonts w:eastAsia="Times New Roman" w:cs="Times New Roman"/>
          <w:bCs/>
          <w:sz w:val="22"/>
          <w:lang w:val="en-GB"/>
        </w:rPr>
        <w:t>guidance</w:t>
      </w:r>
      <w:r w:rsidRPr="002720C2">
        <w:rPr>
          <w:rFonts w:eastAsia="Times New Roman" w:cs="Times New Roman"/>
          <w:bCs/>
          <w:sz w:val="22"/>
          <w:lang w:val="en-GB"/>
        </w:rPr>
        <w:t xml:space="preserve"> and other assistance to beneficiaries</w:t>
      </w:r>
      <w:r w:rsidRPr="002720C2">
        <w:rPr>
          <w:rStyle w:val="FootnoteReference"/>
          <w:sz w:val="22"/>
          <w:lang w:val="en-GB"/>
        </w:rPr>
        <w:footnoteReference w:id="17"/>
      </w:r>
      <w:r w:rsidRPr="002720C2">
        <w:rPr>
          <w:rFonts w:eastAsia="Times New Roman" w:cs="Times New Roman"/>
          <w:bCs/>
          <w:sz w:val="22"/>
          <w:lang w:val="en-GB"/>
        </w:rPr>
        <w:t xml:space="preserve">, so the contribution of the activities supported by the Fund to the achievement of the main strategic objective may be smaller. On the other hand, the decision to use the Fund support for the distribution of food products and hygiene goods is based on the fact that </w:t>
      </w:r>
      <w:r w:rsidR="004D4190" w:rsidRPr="002720C2">
        <w:rPr>
          <w:rFonts w:eastAsia="Times New Roman" w:cs="Times New Roman"/>
          <w:bCs/>
          <w:sz w:val="22"/>
          <w:lang w:val="en-GB"/>
        </w:rPr>
        <w:t>guidance</w:t>
      </w:r>
      <w:r w:rsidRPr="002720C2">
        <w:rPr>
          <w:rFonts w:eastAsia="Times New Roman" w:cs="Times New Roman"/>
          <w:bCs/>
          <w:sz w:val="22"/>
          <w:lang w:val="en-GB"/>
        </w:rPr>
        <w:t xml:space="preserve"> on a variety of issues and other activities promoting inclusion could be financed by other national and EU programmes and projects</w:t>
      </w:r>
      <w:r w:rsidR="006A5AFE" w:rsidRPr="002720C2">
        <w:rPr>
          <w:rFonts w:eastAsia="Times New Roman" w:cs="Times New Roman"/>
          <w:bCs/>
          <w:sz w:val="22"/>
          <w:lang w:val="en-GB"/>
        </w:rPr>
        <w:t xml:space="preserve">.  </w:t>
      </w:r>
    </w:p>
    <w:tbl>
      <w:tblPr>
        <w:tblStyle w:val="VPVILentele1"/>
        <w:tblW w:w="0" w:type="auto"/>
        <w:tblInd w:w="534" w:type="dxa"/>
        <w:tblLook w:val="04A0" w:firstRow="1" w:lastRow="0" w:firstColumn="1" w:lastColumn="0" w:noHBand="0" w:noVBand="1"/>
      </w:tblPr>
      <w:tblGrid>
        <w:gridCol w:w="9768"/>
      </w:tblGrid>
      <w:tr w:rsidR="00404525" w:rsidRPr="002720C2" w:rsidTr="00440F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68" w:type="dxa"/>
          </w:tcPr>
          <w:p w:rsidR="00404525" w:rsidRPr="002720C2" w:rsidRDefault="007C1273" w:rsidP="00B85C29">
            <w:pPr>
              <w:spacing w:before="100" w:beforeAutospacing="1" w:after="100" w:afterAutospacing="1"/>
              <w:jc w:val="both"/>
              <w:rPr>
                <w:lang w:val="en-GB"/>
              </w:rPr>
            </w:pPr>
            <w:r w:rsidRPr="002720C2">
              <w:rPr>
                <w:lang w:val="en-GB"/>
              </w:rPr>
              <w:t>Taken into account</w:t>
            </w:r>
          </w:p>
        </w:tc>
      </w:tr>
      <w:tr w:rsidR="00404525" w:rsidRPr="002720C2" w:rsidTr="00440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8" w:type="dxa"/>
          </w:tcPr>
          <w:p w:rsidR="00404525" w:rsidRPr="002720C2" w:rsidRDefault="006A5AFE" w:rsidP="000C7870">
            <w:pPr>
              <w:spacing w:before="100" w:beforeAutospacing="1" w:after="100" w:afterAutospacing="1"/>
              <w:jc w:val="both"/>
              <w:rPr>
                <w:rFonts w:eastAsia="Times New Roman" w:cs="Times New Roman"/>
                <w:bCs/>
                <w:sz w:val="22"/>
                <w:lang w:val="en-GB"/>
              </w:rPr>
            </w:pPr>
            <w:r w:rsidRPr="002720C2">
              <w:rPr>
                <w:rFonts w:eastAsia="Times New Roman" w:cs="Times New Roman"/>
                <w:b/>
                <w:sz w:val="22"/>
                <w:lang w:val="en-GB"/>
              </w:rPr>
              <w:t>Recommendation 3.</w:t>
            </w:r>
            <w:r w:rsidRPr="002720C2">
              <w:rPr>
                <w:rFonts w:eastAsia="Times New Roman" w:cs="Times New Roman"/>
                <w:bCs/>
                <w:sz w:val="22"/>
                <w:lang w:val="en-GB"/>
              </w:rPr>
              <w:t xml:space="preserve"> </w:t>
            </w:r>
            <w:r w:rsidR="000C7870">
              <w:rPr>
                <w:rFonts w:eastAsia="Times New Roman" w:cs="Times New Roman"/>
                <w:bCs/>
                <w:sz w:val="22"/>
                <w:lang w:val="en-GB"/>
              </w:rPr>
              <w:t>To</w:t>
            </w:r>
            <w:r w:rsidR="00B85C29">
              <w:rPr>
                <w:rFonts w:eastAsia="Times New Roman" w:cs="Times New Roman"/>
                <w:bCs/>
                <w:sz w:val="22"/>
                <w:lang w:val="en-GB"/>
              </w:rPr>
              <w:t xml:space="preserve"> specif</w:t>
            </w:r>
            <w:r w:rsidR="000C7870">
              <w:rPr>
                <w:rFonts w:eastAsia="Times New Roman" w:cs="Times New Roman"/>
                <w:bCs/>
                <w:sz w:val="22"/>
                <w:lang w:val="en-GB"/>
              </w:rPr>
              <w:t>y</w:t>
            </w:r>
            <w:r w:rsidR="004D4190" w:rsidRPr="002720C2">
              <w:rPr>
                <w:rFonts w:eastAsia="Times New Roman" w:cs="Times New Roman"/>
                <w:bCs/>
                <w:sz w:val="22"/>
                <w:lang w:val="en-GB"/>
              </w:rPr>
              <w:t xml:space="preserve"> how the organisation of accompanying activities (e.g. guidance, other support) for target group of the Fund will b</w:t>
            </w:r>
            <w:r w:rsidR="000C7870">
              <w:rPr>
                <w:rFonts w:eastAsia="Times New Roman" w:cs="Times New Roman"/>
                <w:bCs/>
                <w:sz w:val="22"/>
                <w:lang w:val="en-GB"/>
              </w:rPr>
              <w:t>e ensured and properly justify</w:t>
            </w:r>
            <w:r w:rsidR="004D4190" w:rsidRPr="002720C2">
              <w:rPr>
                <w:rFonts w:eastAsia="Times New Roman" w:cs="Times New Roman"/>
                <w:bCs/>
                <w:sz w:val="22"/>
                <w:lang w:val="en-GB"/>
              </w:rPr>
              <w:t xml:space="preserve"> the decision not to finance any accompanying activities from the Fund</w:t>
            </w:r>
            <w:r w:rsidR="000C7870">
              <w:rPr>
                <w:rFonts w:eastAsia="Times New Roman" w:cs="Times New Roman"/>
                <w:bCs/>
                <w:sz w:val="22"/>
                <w:lang w:val="en-GB"/>
              </w:rPr>
              <w:t>’s</w:t>
            </w:r>
            <w:r w:rsidR="008623F4">
              <w:rPr>
                <w:rFonts w:eastAsia="Times New Roman" w:cs="Times New Roman"/>
                <w:bCs/>
                <w:sz w:val="22"/>
                <w:lang w:val="en-GB"/>
              </w:rPr>
              <w:t xml:space="preserve"> Operational P</w:t>
            </w:r>
            <w:r w:rsidR="004D4190" w:rsidRPr="002720C2">
              <w:rPr>
                <w:rFonts w:eastAsia="Times New Roman" w:cs="Times New Roman"/>
                <w:bCs/>
                <w:sz w:val="22"/>
                <w:lang w:val="en-GB"/>
              </w:rPr>
              <w:t>rogramme</w:t>
            </w:r>
            <w:r w:rsidRPr="002720C2">
              <w:rPr>
                <w:rFonts w:eastAsia="Times New Roman" w:cs="Times New Roman"/>
                <w:bCs/>
                <w:sz w:val="22"/>
                <w:lang w:val="en-GB"/>
              </w:rPr>
              <w:t>.</w:t>
            </w:r>
            <w:r w:rsidR="00E4077F" w:rsidRPr="002720C2">
              <w:rPr>
                <w:rFonts w:eastAsia="Times New Roman" w:cs="Times New Roman"/>
                <w:bCs/>
                <w:sz w:val="22"/>
                <w:lang w:val="en-GB"/>
              </w:rPr>
              <w:t xml:space="preserve"> </w:t>
            </w:r>
          </w:p>
        </w:tc>
      </w:tr>
    </w:tbl>
    <w:p w:rsidR="0088403B" w:rsidRPr="002720C2" w:rsidRDefault="006A5AFE" w:rsidP="000C7870">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To summari</w:t>
      </w:r>
      <w:r w:rsidR="0088403B" w:rsidRPr="002720C2">
        <w:rPr>
          <w:rFonts w:eastAsia="Times New Roman" w:cs="Times New Roman"/>
          <w:bCs/>
          <w:sz w:val="22"/>
          <w:lang w:val="en-GB"/>
        </w:rPr>
        <w:t>s</w:t>
      </w:r>
      <w:r w:rsidRPr="002720C2">
        <w:rPr>
          <w:rFonts w:eastAsia="Times New Roman" w:cs="Times New Roman"/>
          <w:bCs/>
          <w:sz w:val="22"/>
          <w:lang w:val="en-GB"/>
        </w:rPr>
        <w:t>e the analysis</w:t>
      </w:r>
      <w:r w:rsidR="0088403B" w:rsidRPr="002720C2">
        <w:rPr>
          <w:rFonts w:eastAsia="Times New Roman" w:cs="Times New Roman"/>
          <w:bCs/>
          <w:sz w:val="22"/>
          <w:lang w:val="en-GB"/>
        </w:rPr>
        <w:t>, it may</w:t>
      </w:r>
      <w:r w:rsidRPr="002720C2">
        <w:rPr>
          <w:rFonts w:eastAsia="Times New Roman" w:cs="Times New Roman"/>
          <w:bCs/>
          <w:sz w:val="22"/>
          <w:lang w:val="en-GB"/>
        </w:rPr>
        <w:t xml:space="preserve"> be concluded that the </w:t>
      </w:r>
      <w:r w:rsidR="0088403B" w:rsidRPr="002720C2">
        <w:rPr>
          <w:rFonts w:eastAsia="Times New Roman" w:cs="Times New Roman"/>
          <w:bCs/>
          <w:sz w:val="22"/>
          <w:lang w:val="en-GB"/>
        </w:rPr>
        <w:t xml:space="preserve">forms of </w:t>
      </w:r>
      <w:r w:rsidRPr="002720C2">
        <w:rPr>
          <w:rFonts w:eastAsia="Times New Roman" w:cs="Times New Roman"/>
          <w:bCs/>
          <w:sz w:val="22"/>
          <w:lang w:val="en-GB"/>
        </w:rPr>
        <w:t xml:space="preserve">material deprivation </w:t>
      </w:r>
      <w:r w:rsidR="0088403B" w:rsidRPr="002720C2">
        <w:rPr>
          <w:rFonts w:eastAsia="Times New Roman" w:cs="Times New Roman"/>
          <w:bCs/>
          <w:sz w:val="22"/>
          <w:lang w:val="en-GB"/>
        </w:rPr>
        <w:t>described in the draft OP essentially correspond</w:t>
      </w:r>
      <w:r w:rsidRPr="002720C2">
        <w:rPr>
          <w:rFonts w:eastAsia="Times New Roman" w:cs="Times New Roman"/>
          <w:bCs/>
          <w:sz w:val="22"/>
          <w:lang w:val="en-GB"/>
        </w:rPr>
        <w:t xml:space="preserve"> with the current situation and the Fund-supported intervention</w:t>
      </w:r>
      <w:r w:rsidR="0088403B" w:rsidRPr="002720C2">
        <w:rPr>
          <w:rFonts w:eastAsia="Times New Roman" w:cs="Times New Roman"/>
          <w:bCs/>
          <w:sz w:val="22"/>
          <w:lang w:val="en-GB"/>
        </w:rPr>
        <w:t xml:space="preserve"> areas</w:t>
      </w:r>
      <w:r w:rsidRPr="002720C2">
        <w:rPr>
          <w:rFonts w:eastAsia="Times New Roman" w:cs="Times New Roman"/>
          <w:bCs/>
          <w:sz w:val="22"/>
          <w:lang w:val="en-GB"/>
        </w:rPr>
        <w:t xml:space="preserve">. </w:t>
      </w:r>
      <w:r w:rsidR="004F15DE" w:rsidRPr="002720C2">
        <w:rPr>
          <w:rFonts w:eastAsia="Times New Roman" w:cs="Times New Roman"/>
          <w:bCs/>
          <w:sz w:val="22"/>
          <w:lang w:val="en-GB"/>
        </w:rPr>
        <w:t>However, due to the planned model for the provision of unified support packages, additional information and justification for material support by providing hygiene goods must be provided because non-individualised support with basic consumer goods increases the risk of it</w:t>
      </w:r>
      <w:r w:rsidR="008623F4">
        <w:rPr>
          <w:rFonts w:eastAsia="Times New Roman" w:cs="Times New Roman"/>
          <w:bCs/>
          <w:sz w:val="22"/>
          <w:lang w:val="en-GB"/>
        </w:rPr>
        <w:t xml:space="preserve">s inappropriate </w:t>
      </w:r>
      <w:r w:rsidR="008623F4">
        <w:rPr>
          <w:rFonts w:eastAsia="Times New Roman" w:cs="Times New Roman"/>
          <w:bCs/>
          <w:sz w:val="22"/>
          <w:lang w:val="en-GB"/>
        </w:rPr>
        <w:lastRenderedPageBreak/>
        <w:t>use. The draft Operational P</w:t>
      </w:r>
      <w:r w:rsidR="004F15DE" w:rsidRPr="002720C2">
        <w:rPr>
          <w:rFonts w:eastAsia="Times New Roman" w:cs="Times New Roman"/>
          <w:bCs/>
          <w:sz w:val="22"/>
          <w:lang w:val="en-GB"/>
        </w:rPr>
        <w:t>rogramme stipulates that Fund support, whereby food and basic consumer goods are provided to the most deprived persons, will alleviate the situation of those suffering from severe material deprivation, thus contributing to the strategic objective of reducing poverty and social exclusion. However, the correlation between the activities supported by the Fund and the interventions financed from other sources aimed at reduction of poverty and social exclusion should be explained in more detail</w:t>
      </w:r>
      <w:r w:rsidRPr="002720C2">
        <w:rPr>
          <w:rFonts w:eastAsia="Times New Roman" w:cs="Times New Roman"/>
          <w:bCs/>
          <w:sz w:val="22"/>
          <w:lang w:val="en-GB"/>
        </w:rPr>
        <w:t xml:space="preserve">. </w:t>
      </w:r>
    </w:p>
    <w:p w:rsidR="00AF1C3D" w:rsidRPr="002720C2" w:rsidRDefault="005A0F2A" w:rsidP="00681609">
      <w:pPr>
        <w:numPr>
          <w:ilvl w:val="0"/>
          <w:numId w:val="21"/>
        </w:numPr>
        <w:spacing w:before="100" w:beforeAutospacing="1" w:after="100" w:afterAutospacing="1"/>
        <w:jc w:val="both"/>
        <w:rPr>
          <w:rFonts w:eastAsia="Times New Roman" w:cs="Times New Roman"/>
          <w:bCs/>
          <w:color w:val="036575"/>
          <w:szCs w:val="24"/>
          <w:lang w:val="en-GB"/>
        </w:rPr>
      </w:pPr>
      <w:r w:rsidRPr="002720C2">
        <w:rPr>
          <w:rFonts w:asciiTheme="majorHAnsi" w:hAnsiTheme="majorHAnsi"/>
          <w:color w:val="036575"/>
          <w:szCs w:val="24"/>
          <w:lang w:val="en-GB"/>
        </w:rPr>
        <w:t>D</w:t>
      </w:r>
      <w:r w:rsidRPr="002720C2">
        <w:rPr>
          <w:rFonts w:asciiTheme="majorHAnsi" w:eastAsia="Times New Roman" w:hAnsiTheme="majorHAnsi"/>
          <w:bCs/>
          <w:color w:val="036575"/>
          <w:szCs w:val="24"/>
          <w:lang w:val="en-GB"/>
        </w:rPr>
        <w:t xml:space="preserve">oes the selected target </w:t>
      </w:r>
      <w:r w:rsidR="00F3554C" w:rsidRPr="002720C2">
        <w:rPr>
          <w:rFonts w:asciiTheme="majorHAnsi" w:eastAsia="Times New Roman" w:hAnsiTheme="majorHAnsi"/>
          <w:bCs/>
          <w:color w:val="036575"/>
          <w:szCs w:val="24"/>
          <w:lang w:val="en-GB"/>
        </w:rPr>
        <w:t>group</w:t>
      </w:r>
      <w:r w:rsidRPr="002720C2">
        <w:rPr>
          <w:rFonts w:asciiTheme="majorHAnsi" w:eastAsia="Times New Roman" w:hAnsiTheme="majorHAnsi"/>
          <w:bCs/>
          <w:color w:val="036575"/>
          <w:szCs w:val="24"/>
          <w:lang w:val="en-GB"/>
        </w:rPr>
        <w:t xml:space="preserve"> comply with the Fund’s requirements for financing? Are the selected </w:t>
      </w:r>
      <w:r w:rsidR="001C5C3D" w:rsidRPr="002720C2">
        <w:rPr>
          <w:rFonts w:asciiTheme="majorHAnsi" w:eastAsia="Times New Roman" w:hAnsiTheme="majorHAnsi"/>
          <w:bCs/>
          <w:color w:val="036575"/>
          <w:szCs w:val="24"/>
          <w:lang w:val="en-GB"/>
        </w:rPr>
        <w:t>support</w:t>
      </w:r>
      <w:r w:rsidRPr="002720C2">
        <w:rPr>
          <w:rFonts w:asciiTheme="majorHAnsi" w:eastAsia="Times New Roman" w:hAnsiTheme="majorHAnsi"/>
          <w:bCs/>
          <w:color w:val="036575"/>
          <w:szCs w:val="24"/>
          <w:lang w:val="en-GB"/>
        </w:rPr>
        <w:t xml:space="preserve"> measures</w:t>
      </w:r>
      <w:r w:rsidR="00CB7EAA" w:rsidRPr="002720C2">
        <w:rPr>
          <w:rFonts w:asciiTheme="majorHAnsi" w:eastAsia="Times New Roman" w:hAnsiTheme="majorHAnsi"/>
          <w:bCs/>
          <w:color w:val="036575"/>
          <w:szCs w:val="24"/>
          <w:lang w:val="en-GB"/>
        </w:rPr>
        <w:t xml:space="preserve"> </w:t>
      </w:r>
      <w:r w:rsidRPr="002720C2">
        <w:rPr>
          <w:rFonts w:asciiTheme="majorHAnsi" w:eastAsia="Times New Roman" w:hAnsiTheme="majorHAnsi"/>
          <w:bCs/>
          <w:color w:val="036575"/>
          <w:szCs w:val="24"/>
          <w:lang w:val="en-GB"/>
        </w:rPr>
        <w:t xml:space="preserve">suitable for the specific target group? Is it clear what the internal and external factors are and how will they determine the efficiency and achievement of the results of the planned </w:t>
      </w:r>
      <w:r w:rsidR="00CB7EAA" w:rsidRPr="002720C2">
        <w:rPr>
          <w:rFonts w:asciiTheme="majorHAnsi" w:eastAsia="Times New Roman" w:hAnsiTheme="majorHAnsi"/>
          <w:bCs/>
          <w:color w:val="036575"/>
          <w:szCs w:val="24"/>
          <w:lang w:val="en-GB"/>
        </w:rPr>
        <w:t>support</w:t>
      </w:r>
      <w:r w:rsidR="00700398" w:rsidRPr="002720C2">
        <w:rPr>
          <w:rFonts w:eastAsia="Times New Roman" w:cs="Times New Roman"/>
          <w:bCs/>
          <w:color w:val="036575"/>
          <w:szCs w:val="24"/>
          <w:lang w:val="en-GB"/>
        </w:rPr>
        <w:t>?</w:t>
      </w:r>
    </w:p>
    <w:p w:rsidR="00CB7EAA" w:rsidRPr="002720C2" w:rsidRDefault="003A34C3" w:rsidP="005B6B2D">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The regulations of the Fund leave the identification of target population groups</w:t>
      </w:r>
      <w:r w:rsidR="005B6B2D">
        <w:rPr>
          <w:rFonts w:eastAsia="Times New Roman" w:cs="Times New Roman"/>
          <w:bCs/>
          <w:sz w:val="22"/>
          <w:lang w:val="en-GB"/>
        </w:rPr>
        <w:t xml:space="preserve"> </w:t>
      </w:r>
      <w:r w:rsidRPr="002720C2">
        <w:rPr>
          <w:rFonts w:eastAsia="Times New Roman" w:cs="Times New Roman"/>
          <w:bCs/>
          <w:sz w:val="22"/>
          <w:lang w:val="en-GB"/>
        </w:rPr>
        <w:t xml:space="preserve">to the competence of Member States: the draft OP must describe the mechanism of how objective eligibility criteria will be identified and specify the type </w:t>
      </w:r>
      <w:r w:rsidR="00604BA2" w:rsidRPr="002720C2">
        <w:rPr>
          <w:rFonts w:eastAsia="Times New Roman" w:cs="Times New Roman"/>
          <w:bCs/>
          <w:sz w:val="22"/>
          <w:lang w:val="en-GB"/>
        </w:rPr>
        <w:t>of</w:t>
      </w:r>
      <w:r w:rsidRPr="002720C2">
        <w:rPr>
          <w:rFonts w:eastAsia="Times New Roman" w:cs="Times New Roman"/>
          <w:bCs/>
          <w:sz w:val="22"/>
          <w:lang w:val="en-GB"/>
        </w:rPr>
        <w:t xml:space="preserve"> material deprivation</w:t>
      </w:r>
      <w:r w:rsidR="00700398" w:rsidRPr="002720C2">
        <w:rPr>
          <w:rFonts w:eastAsia="Times New Roman" w:cs="Times New Roman"/>
          <w:bCs/>
          <w:sz w:val="22"/>
          <w:lang w:val="en-GB"/>
        </w:rPr>
        <w:t xml:space="preserve">. </w:t>
      </w:r>
    </w:p>
    <w:p w:rsidR="00212F1C" w:rsidRPr="002720C2" w:rsidRDefault="006832C0" w:rsidP="00CB7EAA">
      <w:pPr>
        <w:pStyle w:val="Text"/>
        <w:spacing w:before="100" w:beforeAutospacing="1" w:after="100" w:afterAutospacing="1"/>
        <w:ind w:left="0"/>
        <w:rPr>
          <w:noProof w:val="0"/>
          <w:lang w:val="en-GB"/>
        </w:rPr>
      </w:pPr>
      <w:r>
        <w:rPr>
          <w:noProof w:val="0"/>
          <w:sz w:val="22"/>
          <w:lang w:val="en-GB"/>
        </w:rPr>
        <w:pict>
          <v:shape id="_x0000_s1031" type="#_x0000_t202" style="position:absolute;left:0;text-align:left;margin-left:14.4pt;margin-top:4.45pt;width:498pt;height:97.1pt;z-index:25199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" fillcolor="#f6e2a3" strokecolor="#fabf8f" strokeweight="1pt">
            <v:shadow on="t" color="#974706" opacity=".5" offset="1pt"/>
            <v:textbox>
              <w:txbxContent>
                <w:p w:rsidR="00F831FE" w:rsidRPr="001A7A6C" w:rsidRDefault="00F831FE" w:rsidP="00763F85">
                  <w:pPr>
                    <w:jc w:val="both"/>
                    <w:rPr>
                      <w:sz w:val="22"/>
                      <w:lang w:val="en-GB"/>
                    </w:rPr>
                  </w:pPr>
                  <w:r w:rsidRPr="001A7A6C">
                    <w:rPr>
                      <w:rStyle w:val="hps"/>
                      <w:sz w:val="22"/>
                      <w:lang w:val="en-GB"/>
                    </w:rPr>
                    <w:t>Most</w:t>
                  </w:r>
                  <w:r w:rsidRPr="001A7A6C">
                    <w:rPr>
                      <w:sz w:val="22"/>
                      <w:lang w:val="en-GB"/>
                    </w:rPr>
                    <w:t xml:space="preserve"> </w:t>
                  </w:r>
                  <w:r w:rsidRPr="001A7A6C">
                    <w:rPr>
                      <w:rStyle w:val="hps"/>
                      <w:sz w:val="22"/>
                      <w:lang w:val="en-GB"/>
                    </w:rPr>
                    <w:t>deprived persons</w:t>
                  </w:r>
                  <w:r w:rsidRPr="001A7A6C">
                    <w:rPr>
                      <w:sz w:val="22"/>
                      <w:lang w:val="en-GB"/>
                    </w:rPr>
                    <w:t xml:space="preserve"> means natural persons, whether individuals, families, households or groups composed of such persons, whose need for assistance has been established according to the objective criteria set by the national competent authorities in consultation with relevant stakeholders, while avoiding conflicts of interest, or defined by the partner organisations and which are approved by those national competent authorities and which may include elements that allow the targeting of the most deprived persons in certain geographical areas.</w:t>
                  </w:r>
                </w:p>
                <w:p w:rsidR="00F831FE" w:rsidRPr="00AE15C2" w:rsidRDefault="00F831FE" w:rsidP="00763F85"/>
              </w:txbxContent>
            </v:textbox>
          </v:shape>
        </w:pict>
      </w:r>
    </w:p>
    <w:p w:rsidR="00596FDB" w:rsidRPr="002720C2" w:rsidRDefault="00596FDB" w:rsidP="00CB7EAA">
      <w:pPr>
        <w:pStyle w:val="Default"/>
        <w:spacing w:before="100" w:beforeAutospacing="1" w:after="100" w:afterAutospacing="1" w:line="276" w:lineRule="auto"/>
        <w:rPr>
          <w:rFonts w:ascii="Cambria" w:hAnsi="Cambria"/>
          <w:sz w:val="22"/>
          <w:szCs w:val="22"/>
          <w:lang w:val="en-GB"/>
        </w:rPr>
      </w:pPr>
    </w:p>
    <w:p w:rsidR="00596FDB" w:rsidRPr="002720C2" w:rsidRDefault="00596FDB" w:rsidP="00CB7EAA">
      <w:pPr>
        <w:pStyle w:val="CM3"/>
        <w:spacing w:before="100" w:beforeAutospacing="1" w:after="100" w:afterAutospacing="1" w:line="276" w:lineRule="auto"/>
        <w:rPr>
          <w:rFonts w:cs="EUAlbertina"/>
          <w:color w:val="000000"/>
          <w:lang w:val="en-GB"/>
        </w:rPr>
      </w:pPr>
    </w:p>
    <w:p w:rsidR="00596FDB" w:rsidRPr="002720C2" w:rsidRDefault="00596FDB" w:rsidP="00CB7EAA">
      <w:pPr>
        <w:spacing w:before="100" w:beforeAutospacing="1" w:after="100" w:afterAutospacing="1"/>
        <w:rPr>
          <w:rFonts w:cs="EUAlbertina"/>
          <w:color w:val="000000"/>
          <w:sz w:val="19"/>
          <w:szCs w:val="19"/>
          <w:lang w:val="en-GB"/>
        </w:rPr>
      </w:pPr>
    </w:p>
    <w:p w:rsidR="00A742E4" w:rsidRDefault="002E3118" w:rsidP="001A7A6C">
      <w:pPr>
        <w:spacing w:before="100" w:beforeAutospacing="1" w:after="100" w:afterAutospacing="1"/>
        <w:ind w:left="363"/>
        <w:jc w:val="both"/>
        <w:rPr>
          <w:rFonts w:eastAsia="Times New Roman" w:cs="Times New Roman"/>
          <w:bCs/>
          <w:sz w:val="22"/>
          <w:lang w:val="en-GB"/>
        </w:rPr>
      </w:pPr>
      <w:r w:rsidRPr="002720C2">
        <w:rPr>
          <w:rFonts w:eastAsia="Times New Roman" w:cs="Times New Roman"/>
          <w:bCs/>
          <w:sz w:val="22"/>
          <w:lang w:val="en-GB"/>
        </w:rPr>
        <w:t>In accordance with the Fund’s temporary procedure for co-financed projects</w:t>
      </w:r>
      <w:r w:rsidRPr="002720C2">
        <w:rPr>
          <w:rStyle w:val="FootnoteReference"/>
          <w:color w:val="000000"/>
          <w:sz w:val="22"/>
          <w:lang w:val="en-GB"/>
        </w:rPr>
        <w:footnoteReference w:id="18"/>
      </w:r>
      <w:r w:rsidRPr="002720C2">
        <w:rPr>
          <w:rFonts w:eastAsia="Times New Roman" w:cs="Times New Roman"/>
          <w:bCs/>
          <w:sz w:val="22"/>
          <w:lang w:val="en-GB"/>
        </w:rPr>
        <w:t xml:space="preserve">, all of the requirements for the projects, including the target group shall be determined by the Ministry </w:t>
      </w:r>
      <w:r w:rsidR="00F831FE">
        <w:rPr>
          <w:rFonts w:eastAsia="Times New Roman" w:cs="Times New Roman"/>
          <w:bCs/>
          <w:sz w:val="22"/>
          <w:lang w:val="en-GB"/>
        </w:rPr>
        <w:t>of Social Security and Labour (Managing A</w:t>
      </w:r>
      <w:r w:rsidRPr="002720C2">
        <w:rPr>
          <w:rFonts w:eastAsia="Times New Roman" w:cs="Times New Roman"/>
          <w:bCs/>
          <w:sz w:val="22"/>
          <w:lang w:val="en-GB"/>
        </w:rPr>
        <w:t>uthority), which shall prepare descriptions of the conditions fo</w:t>
      </w:r>
      <w:r w:rsidR="008623F4">
        <w:rPr>
          <w:rFonts w:eastAsia="Times New Roman" w:cs="Times New Roman"/>
          <w:bCs/>
          <w:sz w:val="22"/>
          <w:lang w:val="en-GB"/>
        </w:rPr>
        <w:t>r project financing. The draft Operational P</w:t>
      </w:r>
      <w:r w:rsidRPr="002720C2">
        <w:rPr>
          <w:rFonts w:eastAsia="Times New Roman" w:cs="Times New Roman"/>
          <w:bCs/>
          <w:sz w:val="22"/>
          <w:lang w:val="en-GB"/>
        </w:rPr>
        <w:t>rogramme describe</w:t>
      </w:r>
      <w:r w:rsidR="0003211E">
        <w:rPr>
          <w:rFonts w:eastAsia="Times New Roman" w:cs="Times New Roman"/>
          <w:bCs/>
          <w:sz w:val="22"/>
          <w:lang w:val="en-GB"/>
        </w:rPr>
        <w:t>s</w:t>
      </w:r>
      <w:r w:rsidRPr="002720C2">
        <w:rPr>
          <w:rFonts w:eastAsia="Times New Roman" w:cs="Times New Roman"/>
          <w:bCs/>
          <w:sz w:val="22"/>
          <w:lang w:val="en-GB"/>
        </w:rPr>
        <w:t xml:space="preserve"> activities (e.g. guidance and roundtable discussions with st</w:t>
      </w:r>
      <w:r w:rsidR="0003211E">
        <w:rPr>
          <w:rFonts w:eastAsia="Times New Roman" w:cs="Times New Roman"/>
          <w:bCs/>
          <w:sz w:val="22"/>
          <w:lang w:val="en-GB"/>
        </w:rPr>
        <w:t>akeholders) to be taken by the Managing A</w:t>
      </w:r>
      <w:r w:rsidRPr="002720C2">
        <w:rPr>
          <w:rFonts w:eastAsia="Times New Roman" w:cs="Times New Roman"/>
          <w:bCs/>
          <w:sz w:val="22"/>
          <w:lang w:val="en-GB"/>
        </w:rPr>
        <w:t xml:space="preserve">uthority to determine the selection criteria and incorporating them into national legislation. According to the temporary procedure for the Fund’s projects for 2014–2020, the target population group identified in the descriptions of financing conditions for the distribution of food products are those whose average monthly income is not more than one and a half times the state-supported income (hereinafter  – SSI) (i.e. LTL 525). Municipal authorities are also entitled to allocate support in other cases where additional expenses are incurred (due to the person’s disability or serious illness or in the case of an accident) and the family’s income per capita is greater than one and a half times the SSI, but less than two times the SSI. The Fund’s eligibility criteria for beneficiaries are set at a more stringent level than the poverty threshold amounted to LTL 749 per person in 2012. Therefore, it can be said that the Fund’s support is properly targeted at severely deprived people. As regards the eligibility criteria for the provision of basic consumer goods from the Fund, it is planned to set the same Fund eligibility criteria for beneficiaries as for food aid. Although this selection criterion is not directly linked to the statistical indicator for </w:t>
      </w:r>
      <w:r w:rsidRPr="002720C2">
        <w:rPr>
          <w:rFonts w:eastAsia="Times New Roman" w:cs="Times New Roman"/>
          <w:bCs/>
          <w:sz w:val="22"/>
          <w:lang w:val="en-GB"/>
        </w:rPr>
        <w:lastRenderedPageBreak/>
        <w:t xml:space="preserve">material deprivation which covers economic difficulties and the use of durable items, it is </w:t>
      </w:r>
      <w:r w:rsidR="00911F22">
        <w:rPr>
          <w:rFonts w:eastAsia="Times New Roman" w:cs="Times New Roman"/>
          <w:bCs/>
          <w:sz w:val="22"/>
          <w:lang w:val="en-GB"/>
        </w:rPr>
        <w:t>impartial</w:t>
      </w:r>
      <w:r w:rsidRPr="002720C2">
        <w:rPr>
          <w:rFonts w:eastAsia="Times New Roman" w:cs="Times New Roman"/>
          <w:bCs/>
          <w:sz w:val="22"/>
          <w:lang w:val="en-GB"/>
        </w:rPr>
        <w:t xml:space="preserve"> and non-discriminatory with respect to individual population groups. Municipalities retain the right to select those to be covered even if their income is greater than one and a half times the SSI. This increases flexibility in the implementation of OP activities. </w:t>
      </w:r>
    </w:p>
    <w:p w:rsidR="00342BA5" w:rsidRPr="002720C2" w:rsidRDefault="006A770B" w:rsidP="002B2434">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 xml:space="preserve">Given the fact that when identifying the target group of beneficiaries and the most appropriate support measures, a survey of stakeholders (all municipalities and non-governmental organisations working in the field of poverty reduction) was carried out, it can be confirmed that both the target group and the selected support measures are in line with the needs identified in the situation analysis and the regulations of the Fund. In order to reduce poverty and social exclusion or the number of people at risk, such measures as social benefits, heating, drinking water and hot water supply costs, free meals for pupils, support for the purchase of school supplies, and benefits for children are financed from the national budget. Food and basic consumer goods assistance by the Fund will supplement these measures designated for those facing the risk of poverty or social exclusion. However, for the sake of sustainable results, in addition to financial and non-financial assistance to the </w:t>
      </w:r>
      <w:r w:rsidR="00A742E4">
        <w:rPr>
          <w:rFonts w:eastAsia="Times New Roman" w:cs="Times New Roman"/>
          <w:bCs/>
          <w:sz w:val="22"/>
          <w:lang w:val="en-GB"/>
        </w:rPr>
        <w:t>representatives of the target group</w:t>
      </w:r>
      <w:r w:rsidRPr="002720C2">
        <w:rPr>
          <w:rFonts w:eastAsia="Times New Roman" w:cs="Times New Roman"/>
          <w:bCs/>
          <w:sz w:val="22"/>
          <w:lang w:val="en-GB"/>
        </w:rPr>
        <w:t xml:space="preserve">, interventions aimed at the elimination of the causes of poverty and social exclusion must be implemented. A significant investment in this area is planned under </w:t>
      </w:r>
      <w:r w:rsidR="00A742E4" w:rsidRPr="002720C2">
        <w:rPr>
          <w:rFonts w:eastAsia="Times New Roman" w:cs="Times New Roman"/>
          <w:bCs/>
          <w:sz w:val="22"/>
          <w:lang w:val="en-GB"/>
        </w:rPr>
        <w:t>Priority 7 “Promoting quality employment and participation in the labour market”</w:t>
      </w:r>
      <w:r w:rsidR="00A742E4">
        <w:rPr>
          <w:rFonts w:eastAsia="Times New Roman" w:cs="Times New Roman"/>
          <w:bCs/>
          <w:sz w:val="22"/>
          <w:lang w:val="en-GB"/>
        </w:rPr>
        <w:t xml:space="preserve"> and </w:t>
      </w:r>
      <w:r w:rsidRPr="002720C2">
        <w:rPr>
          <w:rFonts w:eastAsia="Times New Roman" w:cs="Times New Roman"/>
          <w:bCs/>
          <w:sz w:val="22"/>
          <w:lang w:val="en-GB"/>
        </w:rPr>
        <w:t xml:space="preserve">Priority 8 “Promoting social inclusion and combating poverty” of the </w:t>
      </w:r>
      <w:r w:rsidRPr="002720C2">
        <w:rPr>
          <w:rFonts w:eastAsia="Cambria" w:cs="Cambria"/>
          <w:color w:val="000000"/>
          <w:sz w:val="22"/>
          <w:lang w:val="en-GB"/>
        </w:rPr>
        <w:t xml:space="preserve">2014–2020 </w:t>
      </w:r>
      <w:r w:rsidRPr="002720C2">
        <w:rPr>
          <w:rFonts w:eastAsia="Times New Roman" w:cs="Times New Roman"/>
          <w:bCs/>
          <w:sz w:val="22"/>
          <w:lang w:val="en-GB"/>
        </w:rPr>
        <w:t xml:space="preserve">Lithuanian </w:t>
      </w:r>
      <w:r w:rsidR="00A742E4">
        <w:rPr>
          <w:rFonts w:eastAsia="Cambria" w:cs="Cambria"/>
          <w:color w:val="000000"/>
          <w:sz w:val="22"/>
          <w:lang w:val="en-GB"/>
        </w:rPr>
        <w:t>Operational P</w:t>
      </w:r>
      <w:r w:rsidRPr="002720C2">
        <w:rPr>
          <w:rFonts w:eastAsia="Cambria" w:cs="Cambria"/>
          <w:color w:val="000000"/>
          <w:sz w:val="22"/>
          <w:lang w:val="en-GB"/>
        </w:rPr>
        <w:t xml:space="preserve">rogramme for EU </w:t>
      </w:r>
      <w:proofErr w:type="spellStart"/>
      <w:r w:rsidR="00A742E4">
        <w:rPr>
          <w:rFonts w:eastAsia="Cambria" w:cs="Cambria"/>
          <w:color w:val="000000"/>
          <w:sz w:val="22"/>
          <w:lang w:val="en-GB"/>
        </w:rPr>
        <w:t>F</w:t>
      </w:r>
      <w:r w:rsidRPr="002720C2">
        <w:rPr>
          <w:rFonts w:eastAsia="Cambria" w:cs="Cambria"/>
          <w:color w:val="000000"/>
          <w:sz w:val="22"/>
          <w:lang w:val="en-GB"/>
        </w:rPr>
        <w:t>und</w:t>
      </w:r>
      <w:r w:rsidR="00A742E4">
        <w:rPr>
          <w:rFonts w:eastAsia="Cambria" w:cs="Cambria"/>
          <w:color w:val="000000"/>
          <w:sz w:val="22"/>
          <w:lang w:val="en-GB"/>
        </w:rPr>
        <w:t>s</w:t>
      </w:r>
      <w:proofErr w:type="spellEnd"/>
      <w:r w:rsidR="00A742E4" w:rsidRPr="00A742E4">
        <w:rPr>
          <w:rFonts w:eastAsia="Cambria" w:cs="Cambria"/>
          <w:color w:val="000000"/>
          <w:sz w:val="22"/>
          <w:lang w:val="en-GB"/>
        </w:rPr>
        <w:t xml:space="preserve"> </w:t>
      </w:r>
      <w:r w:rsidR="00A742E4">
        <w:rPr>
          <w:rFonts w:eastAsia="Cambria" w:cs="Cambria"/>
          <w:color w:val="000000"/>
          <w:sz w:val="22"/>
          <w:lang w:val="en-GB"/>
        </w:rPr>
        <w:t>I</w:t>
      </w:r>
      <w:r w:rsidR="00A742E4" w:rsidRPr="002720C2">
        <w:rPr>
          <w:rFonts w:eastAsia="Cambria" w:cs="Cambria"/>
          <w:color w:val="000000"/>
          <w:sz w:val="22"/>
          <w:lang w:val="en-GB"/>
        </w:rPr>
        <w:t>nvestment</w:t>
      </w:r>
      <w:r w:rsidR="00A742E4">
        <w:rPr>
          <w:rFonts w:eastAsia="Cambria" w:cs="Cambria"/>
          <w:color w:val="000000"/>
          <w:sz w:val="22"/>
          <w:lang w:val="en-GB"/>
        </w:rPr>
        <w:t>s</w:t>
      </w:r>
      <w:r w:rsidRPr="002720C2">
        <w:rPr>
          <w:rFonts w:eastAsia="Cambria" w:cs="Cambria"/>
          <w:color w:val="000000"/>
          <w:sz w:val="22"/>
          <w:lang w:val="en-GB"/>
        </w:rPr>
        <w:t xml:space="preserve">, which combines financing by </w:t>
      </w:r>
      <w:r w:rsidRPr="002720C2">
        <w:rPr>
          <w:rFonts w:eastAsia="Times New Roman" w:cs="Times New Roman"/>
          <w:bCs/>
          <w:sz w:val="22"/>
          <w:lang w:val="en-GB"/>
        </w:rPr>
        <w:t>the European Social Fund (ESF) and European Regional Development Fund (ERDF)</w:t>
      </w:r>
      <w:r w:rsidR="001320DC" w:rsidRPr="002720C2">
        <w:rPr>
          <w:rStyle w:val="FootnoteReference"/>
          <w:sz w:val="22"/>
          <w:lang w:val="en-GB"/>
        </w:rPr>
        <w:footnoteReference w:id="19"/>
      </w:r>
      <w:r w:rsidR="00E306D4" w:rsidRPr="002720C2">
        <w:rPr>
          <w:rFonts w:eastAsia="Times New Roman" w:cs="Times New Roman"/>
          <w:bCs/>
          <w:sz w:val="22"/>
          <w:lang w:val="en-GB"/>
        </w:rPr>
        <w:t xml:space="preserve">. </w:t>
      </w:r>
    </w:p>
    <w:p w:rsidR="00DA7FA5" w:rsidRDefault="00762742" w:rsidP="00CB7EAA">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The capacities of t</w:t>
      </w:r>
      <w:r w:rsidR="00A742E4">
        <w:rPr>
          <w:rFonts w:eastAsia="Times New Roman" w:cs="Times New Roman"/>
          <w:bCs/>
          <w:sz w:val="22"/>
          <w:lang w:val="en-GB"/>
        </w:rPr>
        <w:t>he Fund’s administrative system</w:t>
      </w:r>
      <w:r w:rsidRPr="002720C2">
        <w:rPr>
          <w:rFonts w:eastAsia="Times New Roman" w:cs="Times New Roman"/>
          <w:bCs/>
          <w:sz w:val="22"/>
          <w:lang w:val="en-GB"/>
        </w:rPr>
        <w:t xml:space="preserve">, project </w:t>
      </w:r>
      <w:r w:rsidR="00A742E4">
        <w:rPr>
          <w:rFonts w:eastAsia="Times New Roman" w:cs="Times New Roman"/>
          <w:bCs/>
          <w:sz w:val="22"/>
          <w:lang w:val="en-GB"/>
        </w:rPr>
        <w:t>managers</w:t>
      </w:r>
      <w:r w:rsidR="002720C2">
        <w:rPr>
          <w:rFonts w:eastAsia="Times New Roman" w:cs="Times New Roman"/>
          <w:bCs/>
          <w:sz w:val="22"/>
          <w:lang w:val="en-GB"/>
        </w:rPr>
        <w:t xml:space="preserve"> and partner</w:t>
      </w:r>
      <w:r w:rsidRPr="002720C2">
        <w:rPr>
          <w:rFonts w:eastAsia="Times New Roman" w:cs="Times New Roman"/>
          <w:bCs/>
          <w:sz w:val="22"/>
          <w:lang w:val="en-GB"/>
        </w:rPr>
        <w:t xml:space="preserve"> organisations to plan and implement activities properly may have the greatest impact on the efficienc</w:t>
      </w:r>
      <w:r w:rsidR="00A742E4">
        <w:rPr>
          <w:rFonts w:eastAsia="Times New Roman" w:cs="Times New Roman"/>
          <w:bCs/>
          <w:sz w:val="22"/>
          <w:lang w:val="en-GB"/>
        </w:rPr>
        <w:t>y of the implementation of the Operational P</w:t>
      </w:r>
      <w:r w:rsidRPr="002720C2">
        <w:rPr>
          <w:rFonts w:eastAsia="Times New Roman" w:cs="Times New Roman"/>
          <w:bCs/>
          <w:sz w:val="22"/>
          <w:lang w:val="en-GB"/>
        </w:rPr>
        <w:t xml:space="preserve">rogramme of the </w:t>
      </w:r>
      <w:r w:rsidRPr="002720C2">
        <w:rPr>
          <w:sz w:val="22"/>
          <w:lang w:val="en-GB"/>
        </w:rPr>
        <w:t>Fund for European Aid to the Most Deprived</w:t>
      </w:r>
      <w:r w:rsidRPr="002720C2">
        <w:rPr>
          <w:rFonts w:asciiTheme="minorHAnsi" w:eastAsia="Times New Roman" w:hAnsiTheme="minorHAnsi" w:cs="Times New Roman"/>
          <w:sz w:val="22"/>
          <w:lang w:val="en-GB"/>
        </w:rPr>
        <w:t xml:space="preserve"> </w:t>
      </w:r>
      <w:r w:rsidRPr="002720C2">
        <w:rPr>
          <w:rFonts w:eastAsia="Times New Roman" w:cs="Times New Roman"/>
          <w:bCs/>
          <w:sz w:val="22"/>
          <w:lang w:val="en-GB"/>
        </w:rPr>
        <w:t xml:space="preserve">and on the achievement of </w:t>
      </w:r>
      <w:r w:rsidR="00A742E4">
        <w:rPr>
          <w:rFonts w:eastAsia="Times New Roman" w:cs="Times New Roman"/>
          <w:bCs/>
          <w:sz w:val="22"/>
          <w:lang w:val="en-GB"/>
        </w:rPr>
        <w:t xml:space="preserve">the </w:t>
      </w:r>
      <w:r w:rsidRPr="002720C2">
        <w:rPr>
          <w:rFonts w:eastAsia="Times New Roman" w:cs="Times New Roman"/>
          <w:bCs/>
          <w:sz w:val="22"/>
          <w:lang w:val="en-GB"/>
        </w:rPr>
        <w:t>results</w:t>
      </w:r>
      <w:r w:rsidR="00A742E4">
        <w:rPr>
          <w:rFonts w:eastAsia="Times New Roman" w:cs="Times New Roman"/>
          <w:bCs/>
          <w:sz w:val="22"/>
          <w:lang w:val="en-GB"/>
        </w:rPr>
        <w:t xml:space="preserve"> planned</w:t>
      </w:r>
      <w:r w:rsidRPr="002720C2">
        <w:rPr>
          <w:rFonts w:eastAsia="Times New Roman" w:cs="Times New Roman"/>
          <w:bCs/>
          <w:sz w:val="22"/>
          <w:lang w:val="en-GB"/>
        </w:rPr>
        <w:t>. The programme of interviews with stakeholders showed that it is very important to ensure the timely and continuous implementation of the activities supported by the Fund: only properly planned and launched projects can ensure that the Fund’s support will reach the most deprived people in time, while a regular support package distribution schedule will allow partner organisations to plan their activities and to inform beneficiaries of the next planned support distribution</w:t>
      </w:r>
      <w:r w:rsidRPr="002720C2">
        <w:rPr>
          <w:rStyle w:val="FootnoteReference"/>
          <w:rFonts w:eastAsia="Cambria" w:cs="Cambria"/>
          <w:sz w:val="22"/>
          <w:lang w:val="en-GB"/>
        </w:rPr>
        <w:footnoteReference w:id="20"/>
      </w:r>
      <w:r w:rsidRPr="002720C2">
        <w:rPr>
          <w:rFonts w:eastAsia="Times New Roman" w:cs="Times New Roman"/>
          <w:bCs/>
          <w:sz w:val="22"/>
          <w:lang w:val="en-GB"/>
        </w:rPr>
        <w:t>. On the other hand, such external factors as other national and EU-supported programmes, reforms of social cash assistance system, and the economic cycle will i</w:t>
      </w:r>
      <w:r w:rsidR="008623F4">
        <w:rPr>
          <w:rFonts w:eastAsia="Times New Roman" w:cs="Times New Roman"/>
          <w:bCs/>
          <w:sz w:val="22"/>
          <w:lang w:val="en-GB"/>
        </w:rPr>
        <w:t>nfluence implementation of the Operational P</w:t>
      </w:r>
      <w:r w:rsidRPr="002720C2">
        <w:rPr>
          <w:rFonts w:eastAsia="Times New Roman" w:cs="Times New Roman"/>
          <w:bCs/>
          <w:sz w:val="22"/>
          <w:lang w:val="en-GB"/>
        </w:rPr>
        <w:t>rogramme of the Fund and its indicators. The target groups identified to this date and the procedures for determining products and goods that will be included in support packages ensure the flexibility of the implement</w:t>
      </w:r>
      <w:r w:rsidR="008623F4">
        <w:rPr>
          <w:rFonts w:eastAsia="Times New Roman" w:cs="Times New Roman"/>
          <w:bCs/>
          <w:sz w:val="22"/>
          <w:lang w:val="en-GB"/>
        </w:rPr>
        <w:t>ation of the activities of the o</w:t>
      </w:r>
      <w:r w:rsidRPr="002720C2">
        <w:rPr>
          <w:rFonts w:eastAsia="Times New Roman" w:cs="Times New Roman"/>
          <w:bCs/>
          <w:sz w:val="22"/>
          <w:lang w:val="en-GB"/>
        </w:rPr>
        <w:t>perational programme of the Fund and opportunities to respond to changing situations</w:t>
      </w:r>
      <w:r w:rsidR="00E306D4" w:rsidRPr="002720C2">
        <w:rPr>
          <w:rFonts w:eastAsia="Times New Roman" w:cs="Times New Roman"/>
          <w:bCs/>
          <w:sz w:val="22"/>
          <w:lang w:val="en-GB"/>
        </w:rPr>
        <w:t xml:space="preserve">. </w:t>
      </w:r>
    </w:p>
    <w:p w:rsidR="001A7A6C" w:rsidRPr="002720C2" w:rsidRDefault="001A7A6C" w:rsidP="00CB7EAA">
      <w:pPr>
        <w:spacing w:before="100" w:beforeAutospacing="1" w:after="100" w:afterAutospacing="1"/>
        <w:ind w:left="360"/>
        <w:jc w:val="both"/>
        <w:rPr>
          <w:rFonts w:eastAsia="Times New Roman" w:cs="Times New Roman"/>
          <w:bCs/>
          <w:sz w:val="22"/>
          <w:lang w:val="en-GB"/>
        </w:rPr>
      </w:pPr>
    </w:p>
    <w:p w:rsidR="007C7AD4" w:rsidRPr="002720C2" w:rsidRDefault="007E0D49" w:rsidP="00E306D4">
      <w:pPr>
        <w:pStyle w:val="ListParagraph"/>
        <w:numPr>
          <w:ilvl w:val="0"/>
          <w:numId w:val="6"/>
        </w:numPr>
        <w:spacing w:before="100" w:beforeAutospacing="1" w:after="100" w:afterAutospacing="1" w:line="440" w:lineRule="atLeast"/>
        <w:outlineLvl w:val="1"/>
        <w:rPr>
          <w:rStyle w:val="Heading1Char"/>
          <w:rFonts w:eastAsia="Times New Roman" w:cs="Times New Roman"/>
          <w:bCs w:val="0"/>
          <w:caps w:val="0"/>
          <w:szCs w:val="45"/>
          <w:lang w:val="en-GB"/>
        </w:rPr>
      </w:pPr>
      <w:bookmarkStart w:id="3" w:name="_Toc396222427"/>
      <w:r>
        <w:rPr>
          <w:rFonts w:eastAsia="Times New Roman" w:cs="Times New Roman"/>
          <w:color w:val="175F6E"/>
          <w:sz w:val="45"/>
          <w:szCs w:val="45"/>
          <w:lang w:val="en-GB"/>
        </w:rPr>
        <w:lastRenderedPageBreak/>
        <w:t>RELEVANCE</w:t>
      </w:r>
      <w:r w:rsidR="0051799A" w:rsidRPr="002720C2">
        <w:rPr>
          <w:rFonts w:eastAsia="Times New Roman" w:cs="Times New Roman"/>
          <w:color w:val="175F6E"/>
          <w:sz w:val="45"/>
          <w:szCs w:val="45"/>
          <w:lang w:val="en-GB"/>
        </w:rPr>
        <w:t xml:space="preserve"> AND </w:t>
      </w:r>
      <w:r>
        <w:rPr>
          <w:rFonts w:eastAsia="Times New Roman" w:cs="Times New Roman"/>
          <w:color w:val="175F6E"/>
          <w:sz w:val="45"/>
          <w:szCs w:val="45"/>
          <w:lang w:val="en-GB"/>
        </w:rPr>
        <w:t>CONSISTENCY</w:t>
      </w:r>
      <w:r w:rsidR="0051799A" w:rsidRPr="002720C2">
        <w:rPr>
          <w:rFonts w:eastAsia="Times New Roman" w:cs="Times New Roman"/>
          <w:color w:val="175F6E"/>
          <w:sz w:val="45"/>
          <w:szCs w:val="45"/>
          <w:lang w:val="en-GB"/>
        </w:rPr>
        <w:t xml:space="preserve"> OF </w:t>
      </w:r>
      <w:r w:rsidR="00E306D4" w:rsidRPr="002720C2">
        <w:rPr>
          <w:rFonts w:eastAsia="Times New Roman" w:cs="Times New Roman"/>
          <w:color w:val="175F6E"/>
          <w:sz w:val="45"/>
          <w:szCs w:val="45"/>
          <w:lang w:val="en-GB"/>
        </w:rPr>
        <w:t>MONITORING INDICATORS</w:t>
      </w:r>
      <w:bookmarkEnd w:id="3"/>
      <w:r w:rsidR="00E306D4" w:rsidRPr="002720C2">
        <w:rPr>
          <w:rFonts w:eastAsia="Times New Roman" w:cs="Times New Roman"/>
          <w:color w:val="175F6E"/>
          <w:sz w:val="45"/>
          <w:szCs w:val="45"/>
          <w:lang w:val="en-GB"/>
        </w:rPr>
        <w:t xml:space="preserve"> </w:t>
      </w:r>
    </w:p>
    <w:p w:rsidR="00794F1C" w:rsidRPr="001A7A6C" w:rsidRDefault="00084BD9" w:rsidP="001A7A6C">
      <w:pPr>
        <w:pStyle w:val="Default"/>
        <w:numPr>
          <w:ilvl w:val="0"/>
          <w:numId w:val="21"/>
        </w:numPr>
        <w:jc w:val="both"/>
        <w:rPr>
          <w:rFonts w:asciiTheme="majorHAnsi" w:hAnsiTheme="majorHAnsi"/>
          <w:color w:val="036575" w:themeColor="accent5" w:themeTint="E6"/>
          <w:lang w:val="en-GB"/>
        </w:rPr>
      </w:pPr>
      <w:r w:rsidRPr="002720C2">
        <w:rPr>
          <w:rFonts w:asciiTheme="majorHAnsi" w:eastAsia="Times New Roman" w:hAnsiTheme="majorHAnsi"/>
          <w:bCs/>
          <w:color w:val="036575"/>
          <w:lang w:val="en-GB"/>
        </w:rPr>
        <w:t>Are the planned financial resources sufficient to achieve the objectives of the operational programme? Have the most effective forms of distribution of assistance been selected</w:t>
      </w:r>
      <w:r w:rsidR="00E306D4" w:rsidRPr="002720C2">
        <w:rPr>
          <w:rFonts w:ascii="Cambria" w:eastAsia="Times New Roman" w:hAnsi="Cambria"/>
          <w:bCs/>
          <w:color w:val="036575"/>
          <w:lang w:val="en-GB" w:eastAsia="lt-LT"/>
        </w:rPr>
        <w:t>?</w:t>
      </w:r>
      <w:r w:rsidR="00E306D4" w:rsidRPr="002720C2">
        <w:rPr>
          <w:rFonts w:asciiTheme="majorHAnsi" w:hAnsiTheme="majorHAnsi"/>
          <w:color w:val="036575" w:themeColor="accent5" w:themeTint="E6"/>
          <w:lang w:val="en-GB"/>
        </w:rPr>
        <w:t xml:space="preserve"> </w:t>
      </w:r>
    </w:p>
    <w:p w:rsidR="00B12B82" w:rsidRPr="002720C2" w:rsidRDefault="00DD14D3" w:rsidP="00F96F13">
      <w:pPr>
        <w:spacing w:before="100" w:beforeAutospacing="1" w:after="100" w:afterAutospacing="1"/>
        <w:ind w:left="357"/>
        <w:jc w:val="both"/>
        <w:rPr>
          <w:rFonts w:eastAsia="Times New Roman" w:cs="Times New Roman"/>
          <w:bCs/>
          <w:sz w:val="22"/>
          <w:lang w:val="en-GB"/>
        </w:rPr>
      </w:pPr>
      <w:r w:rsidRPr="002720C2">
        <w:rPr>
          <w:rFonts w:eastAsia="Times New Roman" w:cs="Times New Roman"/>
          <w:bCs/>
          <w:sz w:val="22"/>
          <w:lang w:val="en-GB"/>
        </w:rPr>
        <w:t>Over EUR 90 million is allocate</w:t>
      </w:r>
      <w:r w:rsidR="003829F8">
        <w:rPr>
          <w:rFonts w:eastAsia="Times New Roman" w:cs="Times New Roman"/>
          <w:bCs/>
          <w:sz w:val="22"/>
          <w:lang w:val="en-GB"/>
        </w:rPr>
        <w:t>d to the implementation of the Operational P</w:t>
      </w:r>
      <w:r w:rsidRPr="002720C2">
        <w:rPr>
          <w:rFonts w:eastAsia="Times New Roman" w:cs="Times New Roman"/>
          <w:bCs/>
          <w:sz w:val="22"/>
          <w:lang w:val="en-GB"/>
        </w:rPr>
        <w:t xml:space="preserve">rogramme of the Fund, of which about 62% are planned for the acquisition of food and 33% </w:t>
      </w:r>
      <w:r w:rsidRPr="002720C2">
        <w:rPr>
          <w:rFonts w:eastAsia="Cambria" w:cs="Cambria"/>
          <w:sz w:val="22"/>
          <w:lang w:val="en-GB"/>
        </w:rPr>
        <w:t xml:space="preserve">– for the acquisition of </w:t>
      </w:r>
      <w:r w:rsidRPr="002720C2">
        <w:rPr>
          <w:rFonts w:eastAsia="Times New Roman" w:cs="Times New Roman"/>
          <w:bCs/>
          <w:sz w:val="22"/>
          <w:lang w:val="en-GB"/>
        </w:rPr>
        <w:t>basic consumer goods. The planned financing for the OP is more or less evenly distributed over the entire implementation period between 2014 and 2020 gradually increasing the amounts allocated per each year. Given that the only quantitative indicator mentioned in the draft OP is that up to 300</w:t>
      </w:r>
      <w:r w:rsidRPr="002720C2">
        <w:rPr>
          <w:rFonts w:eastAsia="Times New Roman" w:cs="Times New Roman"/>
          <w:w w:val="50"/>
          <w:sz w:val="22"/>
          <w:lang w:val="en-GB"/>
        </w:rPr>
        <w:t> </w:t>
      </w:r>
      <w:r w:rsidRPr="002720C2">
        <w:rPr>
          <w:rFonts w:eastAsia="Times New Roman" w:cs="Times New Roman"/>
          <w:bCs/>
          <w:sz w:val="22"/>
          <w:lang w:val="en-GB"/>
        </w:rPr>
        <w:t xml:space="preserve">000 persons must receive support per single distribution, it can be assumed that EUR 40–45 per </w:t>
      </w:r>
      <w:r w:rsidR="00994AC7">
        <w:rPr>
          <w:rFonts w:eastAsia="Times New Roman" w:cs="Times New Roman"/>
          <w:bCs/>
          <w:sz w:val="22"/>
          <w:lang w:val="en-GB"/>
        </w:rPr>
        <w:t>person/year will be allocated for</w:t>
      </w:r>
      <w:r w:rsidRPr="002720C2">
        <w:rPr>
          <w:rFonts w:eastAsia="Times New Roman" w:cs="Times New Roman"/>
          <w:bCs/>
          <w:sz w:val="22"/>
          <w:lang w:val="en-GB"/>
        </w:rPr>
        <w:t xml:space="preserve"> support by distributing food and basic consumer goods. So it can be concluded that, depending on the planned number of distributions, financing planned in the OP is sufficient for the objective of the programme – to </w:t>
      </w:r>
      <w:r w:rsidR="00994AC7">
        <w:rPr>
          <w:rFonts w:eastAsia="Times New Roman" w:cs="Times New Roman"/>
          <w:bCs/>
          <w:sz w:val="22"/>
          <w:lang w:val="en-GB"/>
        </w:rPr>
        <w:t>improve</w:t>
      </w:r>
      <w:r w:rsidRPr="002720C2">
        <w:rPr>
          <w:rFonts w:eastAsia="Times New Roman" w:cs="Times New Roman"/>
          <w:bCs/>
          <w:sz w:val="22"/>
          <w:lang w:val="en-GB"/>
        </w:rPr>
        <w:t xml:space="preserve"> the situation of persons suffering from severe material deprivation by supporting distribution of food </w:t>
      </w:r>
      <w:r w:rsidRPr="002720C2">
        <w:rPr>
          <w:sz w:val="22"/>
          <w:lang w:val="en-GB"/>
        </w:rPr>
        <w:t>products and the provision of basic consumer goods</w:t>
      </w:r>
      <w:r w:rsidR="007315BB" w:rsidRPr="002720C2">
        <w:rPr>
          <w:sz w:val="22"/>
          <w:lang w:val="en-GB"/>
        </w:rPr>
        <w:t>.</w:t>
      </w:r>
    </w:p>
    <w:p w:rsidR="00A9205E" w:rsidRPr="002720C2" w:rsidRDefault="00BD5AC0" w:rsidP="001718C9">
      <w:pPr>
        <w:spacing w:before="100" w:beforeAutospacing="1" w:after="100" w:afterAutospacing="1"/>
        <w:ind w:left="357"/>
        <w:jc w:val="both"/>
        <w:rPr>
          <w:rFonts w:eastAsia="Times New Roman" w:cs="Times New Roman"/>
          <w:bCs/>
          <w:sz w:val="22"/>
          <w:lang w:val="en-GB"/>
        </w:rPr>
      </w:pPr>
      <w:r w:rsidRPr="002720C2">
        <w:rPr>
          <w:rFonts w:eastAsia="Times New Roman" w:cs="Times New Roman"/>
          <w:bCs/>
          <w:sz w:val="22"/>
          <w:lang w:val="en-GB"/>
        </w:rPr>
        <w:t xml:space="preserve">Although the </w:t>
      </w:r>
      <w:r w:rsidRPr="002720C2">
        <w:rPr>
          <w:rFonts w:asciiTheme="majorHAnsi" w:eastAsia="Times New Roman" w:hAnsiTheme="majorHAnsi" w:cs="Times New Roman"/>
          <w:bCs/>
          <w:sz w:val="22"/>
          <w:lang w:val="en-GB"/>
        </w:rPr>
        <w:t xml:space="preserve">draft OP does not specify </w:t>
      </w:r>
      <w:r w:rsidR="00A92EB8">
        <w:rPr>
          <w:rFonts w:asciiTheme="majorHAnsi" w:eastAsia="Times New Roman" w:hAnsiTheme="majorHAnsi" w:cs="Times New Roman"/>
          <w:bCs/>
          <w:sz w:val="22"/>
          <w:lang w:val="en-GB"/>
        </w:rPr>
        <w:t xml:space="preserve">which forms of support </w:t>
      </w:r>
      <w:r w:rsidRPr="002720C2">
        <w:rPr>
          <w:rFonts w:asciiTheme="majorHAnsi" w:eastAsia="Times New Roman" w:hAnsiTheme="majorHAnsi" w:cs="Times New Roman"/>
          <w:bCs/>
          <w:sz w:val="22"/>
          <w:lang w:val="en-GB"/>
        </w:rPr>
        <w:t xml:space="preserve">for distributing the Fund’s finances will be </w:t>
      </w:r>
      <w:r w:rsidR="00A92EB8">
        <w:rPr>
          <w:rFonts w:asciiTheme="majorHAnsi" w:eastAsia="Times New Roman" w:hAnsiTheme="majorHAnsi" w:cs="Times New Roman"/>
          <w:bCs/>
          <w:sz w:val="22"/>
          <w:lang w:val="en-GB"/>
        </w:rPr>
        <w:t>applied</w:t>
      </w:r>
      <w:r w:rsidRPr="002720C2">
        <w:rPr>
          <w:rFonts w:asciiTheme="majorHAnsi" w:eastAsia="Times New Roman" w:hAnsiTheme="majorHAnsi" w:cs="Times New Roman"/>
          <w:bCs/>
          <w:sz w:val="22"/>
          <w:lang w:val="en-GB"/>
        </w:rPr>
        <w:t xml:space="preserve">, interviews and the analysis of descriptions of the project financing conditions revealed that </w:t>
      </w:r>
      <w:r w:rsidRPr="002720C2">
        <w:rPr>
          <w:rFonts w:asciiTheme="majorHAnsi" w:eastAsia="Times New Roman" w:hAnsiTheme="majorHAnsi" w:cs="Times New Roman"/>
          <w:sz w:val="22"/>
          <w:lang w:val="en-GB"/>
        </w:rPr>
        <w:t>reimbursement of eligible costs actually incurred and paid</w:t>
      </w:r>
      <w:r w:rsidRPr="002720C2">
        <w:rPr>
          <w:rFonts w:asciiTheme="majorHAnsi" w:eastAsia="Times New Roman" w:hAnsiTheme="majorHAnsi" w:cs="Times New Roman"/>
          <w:bCs/>
          <w:sz w:val="22"/>
          <w:lang w:val="en-GB"/>
        </w:rPr>
        <w:t xml:space="preserve"> and f</w:t>
      </w:r>
      <w:r w:rsidRPr="002720C2">
        <w:rPr>
          <w:rFonts w:asciiTheme="majorHAnsi" w:hAnsiTheme="majorHAnsi"/>
          <w:sz w:val="22"/>
          <w:lang w:val="en-GB"/>
        </w:rPr>
        <w:t>lat-rate financing, determined by the application of a percentage to one or several defined categories of costs</w:t>
      </w:r>
      <w:r w:rsidRPr="002720C2">
        <w:rPr>
          <w:rFonts w:asciiTheme="majorHAnsi" w:eastAsia="Times New Roman" w:hAnsiTheme="majorHAnsi" w:cs="Times New Roman"/>
          <w:bCs/>
          <w:sz w:val="22"/>
          <w:lang w:val="en-GB"/>
        </w:rPr>
        <w:t xml:space="preserve"> will be applied for the implementation of the activities of the OP</w:t>
      </w:r>
      <w:r w:rsidRPr="002720C2">
        <w:rPr>
          <w:rStyle w:val="FootnoteReference"/>
          <w:rFonts w:asciiTheme="majorHAnsi" w:eastAsia="Cambria" w:hAnsiTheme="majorHAnsi" w:cs="Cambria"/>
          <w:sz w:val="22"/>
          <w:lang w:val="en-GB"/>
        </w:rPr>
        <w:footnoteReference w:id="21"/>
      </w:r>
      <w:r w:rsidRPr="002720C2">
        <w:rPr>
          <w:rFonts w:asciiTheme="majorHAnsi" w:eastAsia="Times New Roman" w:hAnsiTheme="majorHAnsi" w:cs="Times New Roman"/>
          <w:bCs/>
          <w:sz w:val="22"/>
          <w:lang w:val="en-GB"/>
        </w:rPr>
        <w:t xml:space="preserve">. The latter form of support is planned to cover the administration costs incurred by project </w:t>
      </w:r>
      <w:r w:rsidR="00A92EB8">
        <w:rPr>
          <w:rFonts w:asciiTheme="majorHAnsi" w:eastAsia="Times New Roman" w:hAnsiTheme="majorHAnsi" w:cs="Times New Roman"/>
          <w:bCs/>
          <w:sz w:val="22"/>
          <w:lang w:val="en-GB"/>
        </w:rPr>
        <w:t>managers</w:t>
      </w:r>
      <w:r w:rsidRPr="002720C2">
        <w:rPr>
          <w:rFonts w:asciiTheme="majorHAnsi" w:eastAsia="Times New Roman" w:hAnsiTheme="majorHAnsi" w:cs="Times New Roman"/>
          <w:bCs/>
          <w:sz w:val="22"/>
          <w:lang w:val="en-GB"/>
        </w:rPr>
        <w:t xml:space="preserve"> and partner organisations: interviews revealed that it is </w:t>
      </w:r>
      <w:r w:rsidR="00A92EB8">
        <w:rPr>
          <w:rFonts w:asciiTheme="majorHAnsi" w:eastAsia="Times New Roman" w:hAnsiTheme="majorHAnsi" w:cs="Times New Roman"/>
          <w:bCs/>
          <w:sz w:val="22"/>
          <w:lang w:val="en-GB"/>
        </w:rPr>
        <w:t>essential for</w:t>
      </w:r>
      <w:r w:rsidRPr="002720C2">
        <w:rPr>
          <w:rFonts w:asciiTheme="majorHAnsi" w:eastAsia="Times New Roman" w:hAnsiTheme="majorHAnsi" w:cs="Times New Roman"/>
          <w:bCs/>
          <w:sz w:val="22"/>
          <w:lang w:val="en-GB"/>
        </w:rPr>
        <w:t xml:space="preserve"> partner organisations </w:t>
      </w:r>
      <w:r w:rsidR="00A92EB8">
        <w:rPr>
          <w:rFonts w:asciiTheme="majorHAnsi" w:eastAsia="Times New Roman" w:hAnsiTheme="majorHAnsi" w:cs="Times New Roman"/>
          <w:bCs/>
          <w:sz w:val="22"/>
          <w:lang w:val="en-GB"/>
        </w:rPr>
        <w:t xml:space="preserve">to </w:t>
      </w:r>
      <w:r w:rsidRPr="002720C2">
        <w:rPr>
          <w:rFonts w:asciiTheme="majorHAnsi" w:eastAsia="Times New Roman" w:hAnsiTheme="majorHAnsi" w:cs="Times New Roman"/>
          <w:bCs/>
          <w:sz w:val="22"/>
          <w:lang w:val="en-GB"/>
        </w:rPr>
        <w:t xml:space="preserve">cover their </w:t>
      </w:r>
      <w:r w:rsidR="00A92EB8">
        <w:rPr>
          <w:rFonts w:eastAsia="Times New Roman" w:cs="Times New Roman"/>
          <w:bCs/>
          <w:sz w:val="22"/>
          <w:lang w:val="en-GB"/>
        </w:rPr>
        <w:t>administrative costs, and</w:t>
      </w:r>
      <w:r w:rsidRPr="002720C2">
        <w:rPr>
          <w:rFonts w:eastAsia="Times New Roman" w:cs="Times New Roman"/>
          <w:bCs/>
          <w:sz w:val="22"/>
          <w:lang w:val="en-GB"/>
        </w:rPr>
        <w:t xml:space="preserve"> also </w:t>
      </w:r>
      <w:r w:rsidR="00A92EB8">
        <w:rPr>
          <w:rFonts w:eastAsia="Times New Roman" w:cs="Times New Roman"/>
          <w:bCs/>
          <w:sz w:val="22"/>
          <w:lang w:val="en-GB"/>
        </w:rPr>
        <w:t>have an</w:t>
      </w:r>
      <w:r w:rsidRPr="002720C2">
        <w:rPr>
          <w:rFonts w:eastAsia="Times New Roman" w:cs="Times New Roman"/>
          <w:bCs/>
          <w:sz w:val="22"/>
          <w:lang w:val="en-GB"/>
        </w:rPr>
        <w:t xml:space="preserve"> opportunity of pre-payments</w:t>
      </w:r>
      <w:r w:rsidRPr="002720C2">
        <w:rPr>
          <w:rStyle w:val="FootnoteReference"/>
          <w:rFonts w:eastAsia="Cambria" w:cs="Cambria"/>
          <w:sz w:val="22"/>
          <w:lang w:val="en-GB"/>
        </w:rPr>
        <w:footnoteReference w:id="22"/>
      </w:r>
      <w:r w:rsidRPr="002720C2">
        <w:rPr>
          <w:rFonts w:eastAsia="Times New Roman" w:cs="Times New Roman"/>
          <w:bCs/>
          <w:sz w:val="22"/>
          <w:lang w:val="en-GB"/>
        </w:rPr>
        <w:t xml:space="preserve">. Flat-rate financing is an effective form of assistance to cover the costs of execution and administration of activities incurred by project </w:t>
      </w:r>
      <w:r w:rsidR="00A92EB8">
        <w:rPr>
          <w:rFonts w:eastAsia="Times New Roman" w:cs="Times New Roman"/>
          <w:bCs/>
          <w:sz w:val="22"/>
          <w:lang w:val="en-GB"/>
        </w:rPr>
        <w:t>managers</w:t>
      </w:r>
      <w:r w:rsidRPr="002720C2">
        <w:rPr>
          <w:rFonts w:eastAsia="Times New Roman" w:cs="Times New Roman"/>
          <w:bCs/>
          <w:sz w:val="22"/>
          <w:lang w:val="en-GB"/>
        </w:rPr>
        <w:t xml:space="preserve"> and partners, because in this way the administrative burden of project implementing organisations is reduced</w:t>
      </w:r>
      <w:r w:rsidR="00336A4C" w:rsidRPr="002720C2">
        <w:rPr>
          <w:rFonts w:eastAsia="Times New Roman" w:cs="Times New Roman"/>
          <w:bCs/>
          <w:sz w:val="22"/>
          <w:lang w:val="en-GB"/>
        </w:rPr>
        <w:t xml:space="preserve">. </w:t>
      </w:r>
    </w:p>
    <w:tbl>
      <w:tblPr>
        <w:tblStyle w:val="VPVILentele1"/>
        <w:tblW w:w="0" w:type="auto"/>
        <w:tblInd w:w="534" w:type="dxa"/>
        <w:tblLook w:val="04A0" w:firstRow="1" w:lastRow="0" w:firstColumn="1" w:lastColumn="0" w:noHBand="0" w:noVBand="1"/>
      </w:tblPr>
      <w:tblGrid>
        <w:gridCol w:w="9639"/>
      </w:tblGrid>
      <w:tr w:rsidR="004941E2" w:rsidRPr="002720C2" w:rsidTr="00FB7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tcPr>
          <w:p w:rsidR="004941E2" w:rsidRPr="002720C2" w:rsidRDefault="007C1273" w:rsidP="003829F8">
            <w:pPr>
              <w:jc w:val="both"/>
              <w:rPr>
                <w:lang w:val="en-GB"/>
              </w:rPr>
            </w:pPr>
            <w:r w:rsidRPr="002720C2">
              <w:rPr>
                <w:lang w:val="en-GB"/>
              </w:rPr>
              <w:t>Taken into account</w:t>
            </w:r>
          </w:p>
        </w:tc>
      </w:tr>
      <w:tr w:rsidR="004941E2" w:rsidRPr="002720C2" w:rsidTr="00FB7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4941E2" w:rsidRPr="002720C2" w:rsidRDefault="002B2434" w:rsidP="00A92EB8">
            <w:pPr>
              <w:jc w:val="both"/>
              <w:rPr>
                <w:sz w:val="22"/>
                <w:lang w:val="en-GB"/>
              </w:rPr>
            </w:pPr>
            <w:r>
              <w:rPr>
                <w:rFonts w:eastAsia="Times New Roman" w:cs="Times New Roman"/>
                <w:b/>
                <w:sz w:val="22"/>
                <w:lang w:val="en-GB"/>
              </w:rPr>
              <w:t>Recommendation 4</w:t>
            </w:r>
            <w:r w:rsidR="00336A4C" w:rsidRPr="002720C2">
              <w:rPr>
                <w:rFonts w:eastAsia="Times New Roman" w:cs="Times New Roman"/>
                <w:b/>
                <w:sz w:val="22"/>
                <w:lang w:val="en-GB"/>
              </w:rPr>
              <w:t xml:space="preserve">. </w:t>
            </w:r>
            <w:r w:rsidR="00763B61" w:rsidRPr="002720C2">
              <w:rPr>
                <w:rFonts w:eastAsia="Times New Roman" w:cs="Times New Roman"/>
                <w:sz w:val="22"/>
                <w:lang w:val="en-GB"/>
              </w:rPr>
              <w:t xml:space="preserve">The draft OP </w:t>
            </w:r>
            <w:r w:rsidR="00763B61" w:rsidRPr="002720C2">
              <w:rPr>
                <w:rFonts w:eastAsia="Times New Roman" w:cs="Times New Roman"/>
                <w:bCs/>
                <w:sz w:val="22"/>
                <w:lang w:val="en-GB"/>
              </w:rPr>
              <w:t>specifies that when implementing a</w:t>
            </w:r>
            <w:r w:rsidR="00047C36" w:rsidRPr="002720C2">
              <w:rPr>
                <w:rFonts w:eastAsia="Times New Roman" w:cs="Times New Roman"/>
                <w:bCs/>
                <w:sz w:val="22"/>
                <w:lang w:val="en-GB"/>
              </w:rPr>
              <w:t xml:space="preserve">ctivities supported by the Fund, the costs of execution and administration of activities incurred by project </w:t>
            </w:r>
            <w:r w:rsidR="00A92EB8">
              <w:rPr>
                <w:rFonts w:eastAsia="Times New Roman" w:cs="Times New Roman"/>
                <w:bCs/>
                <w:sz w:val="22"/>
                <w:lang w:val="en-GB"/>
              </w:rPr>
              <w:t>managers</w:t>
            </w:r>
            <w:r w:rsidR="00047C36" w:rsidRPr="002720C2">
              <w:rPr>
                <w:rFonts w:eastAsia="Times New Roman" w:cs="Times New Roman"/>
                <w:bCs/>
                <w:sz w:val="22"/>
                <w:lang w:val="en-GB"/>
              </w:rPr>
              <w:t xml:space="preserve"> and partner organisations will be covered by applying </w:t>
            </w:r>
            <w:r w:rsidR="00047C36" w:rsidRPr="002720C2">
              <w:rPr>
                <w:rFonts w:asciiTheme="majorHAnsi" w:eastAsia="Times New Roman" w:hAnsiTheme="majorHAnsi" w:cs="Times New Roman"/>
                <w:bCs/>
                <w:sz w:val="22"/>
                <w:lang w:val="en-GB"/>
              </w:rPr>
              <w:t>f</w:t>
            </w:r>
            <w:r w:rsidR="00047C36" w:rsidRPr="002720C2">
              <w:rPr>
                <w:rFonts w:asciiTheme="majorHAnsi" w:hAnsiTheme="majorHAnsi"/>
                <w:sz w:val="22"/>
                <w:lang w:val="en-GB"/>
              </w:rPr>
              <w:t>lat-rate financing, determined by the application of a percentage to one or several defined categories of costs</w:t>
            </w:r>
            <w:r w:rsidR="00336A4C" w:rsidRPr="002720C2">
              <w:rPr>
                <w:rFonts w:eastAsia="Times New Roman" w:cs="Times New Roman"/>
                <w:bCs/>
                <w:sz w:val="22"/>
                <w:lang w:val="en-GB"/>
              </w:rPr>
              <w:t xml:space="preserve">. </w:t>
            </w:r>
            <w:r w:rsidR="007B4F1A" w:rsidRPr="002720C2">
              <w:rPr>
                <w:rFonts w:eastAsia="Times New Roman" w:cs="Times New Roman"/>
                <w:bCs/>
                <w:sz w:val="22"/>
                <w:lang w:val="en-GB"/>
              </w:rPr>
              <w:t>This would ensure a smaller administrative burden for organisations implementing activities supported by the Fund</w:t>
            </w:r>
            <w:r w:rsidR="00336A4C" w:rsidRPr="002720C2">
              <w:rPr>
                <w:rFonts w:eastAsia="Times New Roman" w:cs="Times New Roman"/>
                <w:bCs/>
                <w:sz w:val="22"/>
                <w:lang w:val="en-GB"/>
              </w:rPr>
              <w:t>.</w:t>
            </w:r>
            <w:r w:rsidR="007155FD" w:rsidRPr="002720C2">
              <w:rPr>
                <w:sz w:val="22"/>
                <w:lang w:val="en-GB"/>
              </w:rPr>
              <w:t xml:space="preserve"> </w:t>
            </w:r>
          </w:p>
        </w:tc>
      </w:tr>
    </w:tbl>
    <w:p w:rsidR="00EE46A4" w:rsidRPr="002720C2" w:rsidRDefault="0024176E" w:rsidP="00B12B82">
      <w:pPr>
        <w:spacing w:before="100" w:beforeAutospacing="1" w:after="100" w:afterAutospacing="1"/>
        <w:ind w:left="357"/>
        <w:jc w:val="both"/>
        <w:rPr>
          <w:rFonts w:eastAsia="Times New Roman" w:cs="Times New Roman"/>
          <w:bCs/>
          <w:sz w:val="22"/>
          <w:lang w:val="en-GB"/>
        </w:rPr>
      </w:pPr>
      <w:r w:rsidRPr="002720C2">
        <w:rPr>
          <w:rFonts w:eastAsia="Times New Roman" w:cs="Times New Roman"/>
          <w:bCs/>
          <w:sz w:val="22"/>
          <w:lang w:val="en-GB"/>
        </w:rPr>
        <w:t xml:space="preserve">Given that, during the implementation of activities supported by OP funds, products and goods will be publicly procured by a public organisation, </w:t>
      </w:r>
      <w:r w:rsidRPr="002720C2">
        <w:rPr>
          <w:rFonts w:asciiTheme="majorHAnsi" w:eastAsia="Times New Roman" w:hAnsiTheme="majorHAnsi" w:cs="Times New Roman"/>
          <w:sz w:val="22"/>
          <w:lang w:val="en-GB"/>
        </w:rPr>
        <w:t>reimbursement of eligible costs actually incurred and paid</w:t>
      </w:r>
      <w:r w:rsidRPr="002720C2">
        <w:rPr>
          <w:rFonts w:eastAsia="Times New Roman" w:cs="Times New Roman"/>
          <w:bCs/>
          <w:sz w:val="22"/>
          <w:lang w:val="en-GB"/>
        </w:rPr>
        <w:t xml:space="preserve"> is an appropriate and effective support distribution form consistent with the type of interventions and does not create an additional administrative burden for the institutions that administer the OP</w:t>
      </w:r>
      <w:r w:rsidR="00336A4C" w:rsidRPr="002720C2">
        <w:rPr>
          <w:rFonts w:eastAsia="Times New Roman" w:cs="Times New Roman"/>
          <w:bCs/>
          <w:sz w:val="22"/>
          <w:lang w:val="en-GB"/>
        </w:rPr>
        <w:t xml:space="preserve">. </w:t>
      </w:r>
    </w:p>
    <w:p w:rsidR="00A52582" w:rsidRPr="002720C2" w:rsidRDefault="00E115A9" w:rsidP="00066FA8">
      <w:pPr>
        <w:pStyle w:val="ListParagraph"/>
        <w:numPr>
          <w:ilvl w:val="0"/>
          <w:numId w:val="21"/>
        </w:numPr>
        <w:spacing w:before="100" w:beforeAutospacing="1" w:after="100" w:afterAutospacing="1" w:line="240" w:lineRule="auto"/>
        <w:jc w:val="both"/>
        <w:rPr>
          <w:rFonts w:eastAsia="Times New Roman" w:cs="Times New Roman"/>
          <w:bCs/>
          <w:sz w:val="22"/>
          <w:lang w:val="en-GB"/>
        </w:rPr>
      </w:pPr>
      <w:r w:rsidRPr="002720C2">
        <w:rPr>
          <w:rFonts w:asciiTheme="majorHAnsi" w:hAnsiTheme="majorHAnsi"/>
          <w:color w:val="036575"/>
          <w:szCs w:val="24"/>
          <w:lang w:val="en-GB"/>
        </w:rPr>
        <w:lastRenderedPageBreak/>
        <w:t>Are the i</w:t>
      </w:r>
      <w:r w:rsidRPr="002720C2">
        <w:rPr>
          <w:rFonts w:asciiTheme="majorHAnsi" w:eastAsia="Times New Roman" w:hAnsiTheme="majorHAnsi"/>
          <w:bCs/>
          <w:color w:val="036575"/>
          <w:szCs w:val="24"/>
          <w:lang w:val="en-GB"/>
        </w:rPr>
        <w:t>ndicators for monitoring and evaluation clearly defined in the draft operational programme? Are the objectives pursued realistic given the planned interventions and planned financing</w:t>
      </w:r>
      <w:r w:rsidR="00336A4C" w:rsidRPr="002720C2">
        <w:rPr>
          <w:rFonts w:eastAsia="Times New Roman" w:cs="Times New Roman"/>
          <w:bCs/>
          <w:color w:val="036575"/>
          <w:szCs w:val="24"/>
          <w:lang w:val="en-GB"/>
        </w:rPr>
        <w:t xml:space="preserve">? </w:t>
      </w:r>
    </w:p>
    <w:p w:rsidR="000F53DB" w:rsidRPr="002720C2" w:rsidRDefault="001E31BF" w:rsidP="00FE15FF">
      <w:pPr>
        <w:spacing w:before="100" w:beforeAutospacing="1" w:after="100" w:afterAutospacing="1"/>
        <w:ind w:left="425"/>
        <w:jc w:val="both"/>
        <w:rPr>
          <w:rFonts w:eastAsia="Times New Roman" w:cs="Times New Roman"/>
          <w:bCs/>
          <w:sz w:val="22"/>
          <w:lang w:val="en-GB"/>
        </w:rPr>
      </w:pPr>
      <w:r w:rsidRPr="002720C2">
        <w:rPr>
          <w:rFonts w:eastAsia="Times New Roman" w:cs="Times New Roman"/>
          <w:bCs/>
          <w:sz w:val="22"/>
          <w:lang w:val="en-GB"/>
        </w:rPr>
        <w:t xml:space="preserve">Until a </w:t>
      </w:r>
      <w:r w:rsidR="00A92EB8">
        <w:rPr>
          <w:rFonts w:eastAsia="Times New Roman" w:cs="Times New Roman"/>
          <w:bCs/>
          <w:sz w:val="22"/>
          <w:lang w:val="en-GB"/>
        </w:rPr>
        <w:t>delegated</w:t>
      </w:r>
      <w:r w:rsidRPr="002720C2">
        <w:rPr>
          <w:rFonts w:eastAsia="Times New Roman" w:cs="Times New Roman"/>
          <w:bCs/>
          <w:sz w:val="22"/>
          <w:lang w:val="en-GB"/>
        </w:rPr>
        <w:t xml:space="preserve"> act</w:t>
      </w:r>
      <w:r w:rsidR="00A92EB8">
        <w:rPr>
          <w:rFonts w:eastAsia="Times New Roman" w:cs="Times New Roman"/>
          <w:bCs/>
          <w:sz w:val="22"/>
          <w:lang w:val="en-GB"/>
        </w:rPr>
        <w:t>,</w:t>
      </w:r>
      <w:r w:rsidRPr="002720C2">
        <w:rPr>
          <w:rFonts w:eastAsia="Times New Roman" w:cs="Times New Roman"/>
          <w:bCs/>
          <w:sz w:val="22"/>
          <w:lang w:val="en-GB"/>
        </w:rPr>
        <w:t xml:space="preserve"> </w:t>
      </w:r>
      <w:r w:rsidR="00A92EB8" w:rsidRPr="002720C2">
        <w:rPr>
          <w:rFonts w:eastAsia="Times New Roman" w:cs="Times New Roman"/>
          <w:bCs/>
          <w:sz w:val="22"/>
          <w:lang w:val="en-GB"/>
        </w:rPr>
        <w:t>which should define the provisions for the preparation and submission of reports regar</w:t>
      </w:r>
      <w:r w:rsidR="008623F4">
        <w:rPr>
          <w:rFonts w:eastAsia="Times New Roman" w:cs="Times New Roman"/>
          <w:bCs/>
          <w:sz w:val="22"/>
          <w:lang w:val="en-GB"/>
        </w:rPr>
        <w:t>ding the implementation of the Operational P</w:t>
      </w:r>
      <w:r w:rsidR="00A92EB8" w:rsidRPr="002720C2">
        <w:rPr>
          <w:rFonts w:eastAsia="Times New Roman" w:cs="Times New Roman"/>
          <w:bCs/>
          <w:sz w:val="22"/>
          <w:lang w:val="en-GB"/>
        </w:rPr>
        <w:t>rogramme of the Fund, including mandatory monitoring indicators common to all parties</w:t>
      </w:r>
      <w:r w:rsidR="00A92EB8">
        <w:rPr>
          <w:rFonts w:eastAsia="Times New Roman" w:cs="Times New Roman"/>
          <w:bCs/>
          <w:sz w:val="22"/>
          <w:lang w:val="en-GB"/>
        </w:rPr>
        <w:t xml:space="preserve">, </w:t>
      </w:r>
      <w:r w:rsidR="00A92EB8" w:rsidRPr="002720C2">
        <w:rPr>
          <w:rFonts w:eastAsia="Times New Roman" w:cs="Times New Roman"/>
          <w:bCs/>
          <w:sz w:val="22"/>
          <w:lang w:val="en-GB"/>
        </w:rPr>
        <w:t xml:space="preserve">is adopted </w:t>
      </w:r>
      <w:r w:rsidRPr="002720C2">
        <w:rPr>
          <w:rFonts w:eastAsia="Times New Roman" w:cs="Times New Roman"/>
          <w:bCs/>
          <w:sz w:val="22"/>
          <w:lang w:val="en-GB"/>
        </w:rPr>
        <w:t>by the European Commission</w:t>
      </w:r>
      <w:r w:rsidR="00A92EB8">
        <w:rPr>
          <w:rFonts w:eastAsia="Times New Roman" w:cs="Times New Roman"/>
          <w:bCs/>
          <w:sz w:val="22"/>
          <w:lang w:val="en-GB"/>
        </w:rPr>
        <w:t>, the draft Operational P</w:t>
      </w:r>
      <w:r w:rsidRPr="002720C2">
        <w:rPr>
          <w:rFonts w:eastAsia="Times New Roman" w:cs="Times New Roman"/>
          <w:bCs/>
          <w:sz w:val="22"/>
          <w:lang w:val="en-GB"/>
        </w:rPr>
        <w:t>rogramme lays down only one monitoring indicator – the number of people who have received support as a result of distribution of food and basic consumer goods financed under the projects of the Fund. However, the OP does not detail how this figure will be calculated – individual persons who have received support or a general quantitative body of beneficiaries – and how often the data will be collected. Although there is a plan that 300</w:t>
      </w:r>
      <w:r w:rsidRPr="002720C2">
        <w:rPr>
          <w:rFonts w:eastAsia="Times New Roman" w:cs="Times New Roman"/>
          <w:w w:val="50"/>
          <w:sz w:val="22"/>
          <w:lang w:val="en-GB"/>
        </w:rPr>
        <w:t> </w:t>
      </w:r>
      <w:r w:rsidRPr="002720C2">
        <w:rPr>
          <w:rFonts w:eastAsia="Times New Roman" w:cs="Times New Roman"/>
          <w:bCs/>
          <w:sz w:val="22"/>
          <w:lang w:val="en-GB"/>
        </w:rPr>
        <w:t xml:space="preserve">000 people shall receive support packages during a single distribution </w:t>
      </w:r>
      <w:r w:rsidR="00A92EB8">
        <w:rPr>
          <w:rFonts w:eastAsia="Times New Roman" w:cs="Times New Roman"/>
          <w:bCs/>
          <w:sz w:val="22"/>
          <w:lang w:val="en-GB"/>
        </w:rPr>
        <w:t>financed by the Fund, it remained</w:t>
      </w:r>
      <w:r w:rsidRPr="002720C2">
        <w:rPr>
          <w:rFonts w:eastAsia="Times New Roman" w:cs="Times New Roman"/>
          <w:bCs/>
          <w:sz w:val="22"/>
          <w:lang w:val="en-GB"/>
        </w:rPr>
        <w:t xml:space="preserve"> unclear how many of these distributions are planned in a year and throughout the OP implementation period. Since financing is distributed among various activities supported by the Fund and in 2014 support for providing basic consumer goods was not available, separate indicators must be used to monitor the progress and results of the implementation of these activities</w:t>
      </w:r>
      <w:r w:rsidR="00336A4C" w:rsidRPr="002720C2">
        <w:rPr>
          <w:rFonts w:eastAsia="Times New Roman" w:cs="Times New Roman"/>
          <w:bCs/>
          <w:sz w:val="22"/>
          <w:lang w:val="en-GB"/>
        </w:rPr>
        <w:t xml:space="preserve">. </w:t>
      </w:r>
    </w:p>
    <w:tbl>
      <w:tblPr>
        <w:tblStyle w:val="VPVILentele1"/>
        <w:tblW w:w="0" w:type="auto"/>
        <w:tblInd w:w="534" w:type="dxa"/>
        <w:tblLook w:val="04A0" w:firstRow="1" w:lastRow="0" w:firstColumn="1" w:lastColumn="0" w:noHBand="0" w:noVBand="1"/>
      </w:tblPr>
      <w:tblGrid>
        <w:gridCol w:w="9639"/>
      </w:tblGrid>
      <w:tr w:rsidR="00851F15" w:rsidRPr="002720C2" w:rsidTr="002B05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tcPr>
          <w:p w:rsidR="00851F15" w:rsidRPr="002720C2" w:rsidRDefault="00A92EB8" w:rsidP="00A92EB8">
            <w:pPr>
              <w:jc w:val="both"/>
              <w:rPr>
                <w:lang w:val="en-GB"/>
              </w:rPr>
            </w:pPr>
            <w:r>
              <w:rPr>
                <w:lang w:val="en-GB"/>
              </w:rPr>
              <w:t>Taken into account</w:t>
            </w:r>
          </w:p>
        </w:tc>
      </w:tr>
      <w:tr w:rsidR="00851F15" w:rsidRPr="002720C2" w:rsidTr="002B0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2B6287" w:rsidRPr="002720C2" w:rsidRDefault="005F7965" w:rsidP="002317B4">
            <w:pPr>
              <w:jc w:val="both"/>
              <w:rPr>
                <w:rFonts w:eastAsia="Times New Roman" w:cs="Times New Roman"/>
                <w:bCs/>
                <w:sz w:val="22"/>
                <w:lang w:val="en-GB"/>
              </w:rPr>
            </w:pPr>
            <w:r w:rsidRPr="002720C2">
              <w:rPr>
                <w:rFonts w:eastAsia="Times New Roman" w:cs="Times New Roman"/>
                <w:b/>
                <w:sz w:val="22"/>
                <w:lang w:val="en-GB"/>
              </w:rPr>
              <w:t>R</w:t>
            </w:r>
            <w:r w:rsidR="00336A4C" w:rsidRPr="002720C2">
              <w:rPr>
                <w:rFonts w:eastAsia="Times New Roman" w:cs="Times New Roman"/>
                <w:b/>
                <w:sz w:val="22"/>
                <w:lang w:val="en-GB"/>
              </w:rPr>
              <w:t>ecommendation</w:t>
            </w:r>
            <w:r w:rsidR="002B2434">
              <w:rPr>
                <w:rFonts w:eastAsia="Times New Roman" w:cs="Times New Roman"/>
                <w:b/>
                <w:sz w:val="22"/>
                <w:lang w:val="en-GB"/>
              </w:rPr>
              <w:t xml:space="preserve"> 5</w:t>
            </w:r>
            <w:r w:rsidR="00336A4C" w:rsidRPr="002720C2">
              <w:rPr>
                <w:rFonts w:eastAsia="Times New Roman" w:cs="Times New Roman"/>
                <w:b/>
                <w:sz w:val="22"/>
                <w:lang w:val="en-GB"/>
              </w:rPr>
              <w:t>.</w:t>
            </w:r>
            <w:r w:rsidR="00336A4C" w:rsidRPr="002720C2">
              <w:rPr>
                <w:rFonts w:eastAsia="Times New Roman" w:cs="Times New Roman"/>
                <w:bCs/>
                <w:sz w:val="22"/>
                <w:lang w:val="en-GB"/>
              </w:rPr>
              <w:t xml:space="preserve"> </w:t>
            </w:r>
            <w:r w:rsidR="002B6287" w:rsidRPr="002720C2">
              <w:rPr>
                <w:rFonts w:eastAsia="Times New Roman" w:cs="Times New Roman"/>
                <w:bCs/>
                <w:sz w:val="22"/>
                <w:lang w:val="en-GB"/>
              </w:rPr>
              <w:t>Before common monitoring indicators are established, it i</w:t>
            </w:r>
            <w:r w:rsidR="002317B4" w:rsidRPr="002720C2">
              <w:rPr>
                <w:rFonts w:eastAsia="Times New Roman" w:cs="Times New Roman"/>
                <w:bCs/>
                <w:sz w:val="22"/>
                <w:lang w:val="en-GB"/>
              </w:rPr>
              <w:t>s</w:t>
            </w:r>
            <w:r w:rsidR="002B6287" w:rsidRPr="002720C2">
              <w:rPr>
                <w:rFonts w:eastAsia="Times New Roman" w:cs="Times New Roman"/>
                <w:bCs/>
                <w:sz w:val="22"/>
                <w:lang w:val="en-GB"/>
              </w:rPr>
              <w:t xml:space="preserve"> </w:t>
            </w:r>
            <w:r w:rsidR="00336A4C" w:rsidRPr="002720C2">
              <w:rPr>
                <w:rFonts w:eastAsia="Times New Roman" w:cs="Times New Roman"/>
                <w:bCs/>
                <w:sz w:val="22"/>
                <w:lang w:val="en-GB"/>
              </w:rPr>
              <w:t>propose</w:t>
            </w:r>
            <w:r w:rsidR="002B6287" w:rsidRPr="002720C2">
              <w:rPr>
                <w:rFonts w:eastAsia="Times New Roman" w:cs="Times New Roman"/>
                <w:bCs/>
                <w:sz w:val="22"/>
                <w:lang w:val="en-GB"/>
              </w:rPr>
              <w:t xml:space="preserve">d in the draft OP to use different monitoring indicators for measuring the number of people who will receive support through the </w:t>
            </w:r>
            <w:r w:rsidR="002317B4" w:rsidRPr="002720C2">
              <w:rPr>
                <w:rFonts w:eastAsia="Times New Roman" w:cs="Times New Roman"/>
                <w:bCs/>
                <w:sz w:val="22"/>
                <w:lang w:val="en-GB"/>
              </w:rPr>
              <w:t>distribution</w:t>
            </w:r>
            <w:r w:rsidR="002B6287" w:rsidRPr="002720C2">
              <w:rPr>
                <w:rFonts w:eastAsia="Times New Roman" w:cs="Times New Roman"/>
                <w:bCs/>
                <w:sz w:val="22"/>
                <w:lang w:val="en-GB"/>
              </w:rPr>
              <w:t xml:space="preserve"> of </w:t>
            </w:r>
            <w:r w:rsidR="00336A4C" w:rsidRPr="002720C2">
              <w:rPr>
                <w:rFonts w:eastAsia="Times New Roman" w:cs="Times New Roman"/>
                <w:bCs/>
                <w:sz w:val="22"/>
                <w:lang w:val="en-GB"/>
              </w:rPr>
              <w:t xml:space="preserve">food </w:t>
            </w:r>
            <w:r w:rsidR="002B6287" w:rsidRPr="002720C2">
              <w:rPr>
                <w:rFonts w:eastAsia="Times New Roman" w:cs="Times New Roman"/>
                <w:bCs/>
                <w:sz w:val="22"/>
                <w:lang w:val="en-GB"/>
              </w:rPr>
              <w:t xml:space="preserve">products </w:t>
            </w:r>
            <w:r w:rsidR="00336A4C" w:rsidRPr="002720C2">
              <w:rPr>
                <w:rFonts w:eastAsia="Times New Roman" w:cs="Times New Roman"/>
                <w:bCs/>
                <w:sz w:val="22"/>
                <w:lang w:val="en-GB"/>
              </w:rPr>
              <w:t xml:space="preserve">and consumer goods. In determining the target values, it is important to specify the </w:t>
            </w:r>
            <w:r w:rsidR="002B6287" w:rsidRPr="002720C2">
              <w:rPr>
                <w:rFonts w:eastAsia="Times New Roman" w:cs="Times New Roman"/>
                <w:bCs/>
                <w:sz w:val="22"/>
                <w:lang w:val="en-GB"/>
              </w:rPr>
              <w:t xml:space="preserve">number of planned distributions </w:t>
            </w:r>
            <w:r w:rsidR="00336A4C" w:rsidRPr="002720C2">
              <w:rPr>
                <w:rFonts w:eastAsia="Times New Roman" w:cs="Times New Roman"/>
                <w:bCs/>
                <w:sz w:val="22"/>
                <w:lang w:val="en-GB"/>
              </w:rPr>
              <w:t xml:space="preserve">and </w:t>
            </w:r>
            <w:r w:rsidR="002B6287" w:rsidRPr="002720C2">
              <w:rPr>
                <w:rFonts w:eastAsia="Times New Roman" w:cs="Times New Roman"/>
                <w:bCs/>
                <w:sz w:val="22"/>
                <w:lang w:val="en-GB"/>
              </w:rPr>
              <w:t>consider distribution of</w:t>
            </w:r>
            <w:r w:rsidR="00336A4C" w:rsidRPr="002720C2">
              <w:rPr>
                <w:rFonts w:eastAsia="Times New Roman" w:cs="Times New Roman"/>
                <w:bCs/>
                <w:sz w:val="22"/>
                <w:lang w:val="en-GB"/>
              </w:rPr>
              <w:t xml:space="preserve"> </w:t>
            </w:r>
            <w:r w:rsidR="002B6287" w:rsidRPr="002720C2">
              <w:rPr>
                <w:rFonts w:eastAsia="Times New Roman" w:cs="Times New Roman"/>
                <w:bCs/>
                <w:sz w:val="22"/>
                <w:lang w:val="en-GB"/>
              </w:rPr>
              <w:t xml:space="preserve">financing among </w:t>
            </w:r>
            <w:r w:rsidR="00336A4C" w:rsidRPr="002720C2">
              <w:rPr>
                <w:rFonts w:eastAsia="Times New Roman" w:cs="Times New Roman"/>
                <w:bCs/>
                <w:sz w:val="22"/>
                <w:lang w:val="en-GB"/>
              </w:rPr>
              <w:t>the Fund-supported activities.</w:t>
            </w:r>
          </w:p>
        </w:tc>
      </w:tr>
    </w:tbl>
    <w:p w:rsidR="00D319E8" w:rsidRDefault="00E10BFE" w:rsidP="00FE15FF">
      <w:pPr>
        <w:pStyle w:val="Text"/>
        <w:spacing w:before="100" w:beforeAutospacing="1" w:after="100" w:afterAutospacing="1"/>
        <w:ind w:left="363"/>
        <w:rPr>
          <w:rFonts w:eastAsia="Times New Roman" w:cs="Times New Roman"/>
          <w:bCs/>
          <w:noProof w:val="0"/>
          <w:sz w:val="22"/>
          <w:lang w:val="en-GB"/>
        </w:rPr>
      </w:pPr>
      <w:r w:rsidRPr="002720C2">
        <w:rPr>
          <w:rFonts w:eastAsia="Times New Roman" w:cs="Times New Roman"/>
          <w:bCs/>
          <w:noProof w:val="0"/>
          <w:sz w:val="22"/>
          <w:lang w:val="en-GB"/>
        </w:rPr>
        <w:t>The informatio</w:t>
      </w:r>
      <w:r w:rsidR="001A7A6C">
        <w:rPr>
          <w:rFonts w:eastAsia="Times New Roman" w:cs="Times New Roman"/>
          <w:bCs/>
          <w:noProof w:val="0"/>
          <w:sz w:val="22"/>
          <w:lang w:val="en-GB"/>
        </w:rPr>
        <w:t>n on the implementation of the Food Distribution Programme from Intervention Stocks for the Most Deprived Persons</w:t>
      </w:r>
      <w:r w:rsidRPr="002720C2">
        <w:rPr>
          <w:rFonts w:eastAsia="Times New Roman" w:cs="Times New Roman"/>
          <w:bCs/>
          <w:noProof w:val="0"/>
          <w:sz w:val="22"/>
          <w:lang w:val="en-GB"/>
        </w:rPr>
        <w:t xml:space="preserve"> in 2012 and 2013 shows that the figure of up to 300</w:t>
      </w:r>
      <w:r w:rsidRPr="002720C2">
        <w:rPr>
          <w:rFonts w:eastAsia="Times New Roman" w:cs="Times New Roman"/>
          <w:noProof w:val="0"/>
          <w:w w:val="50"/>
          <w:sz w:val="22"/>
          <w:lang w:val="en-GB"/>
        </w:rPr>
        <w:t> </w:t>
      </w:r>
      <w:r w:rsidRPr="002720C2">
        <w:rPr>
          <w:rFonts w:eastAsia="Times New Roman" w:cs="Times New Roman"/>
          <w:bCs/>
          <w:noProof w:val="0"/>
          <w:sz w:val="22"/>
          <w:lang w:val="en-GB"/>
        </w:rPr>
        <w:t xml:space="preserve">000 people per single distribution of support can be reached or even exceeded. However, the adequacy of the financing to achieve the results will depend both on the number of distributions and the amount of food products and basic consumer goods distributed in a single distribution </w:t>
      </w:r>
    </w:p>
    <w:p w:rsidR="005F7965" w:rsidRPr="002720C2" w:rsidRDefault="00E10BFE" w:rsidP="00FE15FF">
      <w:pPr>
        <w:pStyle w:val="Text"/>
        <w:spacing w:before="100" w:beforeAutospacing="1" w:after="100" w:afterAutospacing="1"/>
        <w:ind w:left="363"/>
        <w:rPr>
          <w:rFonts w:eastAsia="Times New Roman" w:cs="Times New Roman"/>
          <w:bCs/>
          <w:noProof w:val="0"/>
          <w:sz w:val="22"/>
          <w:lang w:val="en-GB"/>
        </w:rPr>
      </w:pPr>
      <w:r w:rsidRPr="002720C2">
        <w:rPr>
          <w:rFonts w:eastAsia="Times New Roman" w:cs="Times New Roman"/>
          <w:bCs/>
          <w:noProof w:val="0"/>
          <w:sz w:val="22"/>
          <w:lang w:val="en-GB"/>
        </w:rPr>
        <w:t xml:space="preserve">The experience of the Lithuanian Agricultural and Food Market Regulation Agency (hereinafter – Agency) in implementing </w:t>
      </w:r>
      <w:r w:rsidR="005C1193">
        <w:rPr>
          <w:rFonts w:eastAsia="Times New Roman" w:cs="Times New Roman"/>
          <w:bCs/>
          <w:noProof w:val="0"/>
          <w:sz w:val="22"/>
          <w:lang w:val="en-GB"/>
        </w:rPr>
        <w:t>the Food Distribution Programme from Intervention Stocks for the Most Deprived Persons</w:t>
      </w:r>
      <w:r w:rsidRPr="002720C2">
        <w:rPr>
          <w:rFonts w:eastAsia="Times New Roman" w:cs="Times New Roman"/>
          <w:bCs/>
          <w:noProof w:val="0"/>
          <w:sz w:val="22"/>
          <w:lang w:val="en-GB"/>
        </w:rPr>
        <w:t xml:space="preserve"> shows that the financing planned by the Fund for the distribution of food products is sufficient and the result to be achieved is realistic, provided </w:t>
      </w:r>
      <w:r w:rsidR="005C1193">
        <w:rPr>
          <w:rFonts w:eastAsia="Times New Roman" w:cs="Times New Roman"/>
          <w:bCs/>
          <w:noProof w:val="0"/>
          <w:sz w:val="22"/>
          <w:lang w:val="en-GB"/>
        </w:rPr>
        <w:t xml:space="preserve">that </w:t>
      </w:r>
      <w:r w:rsidRPr="002720C2">
        <w:rPr>
          <w:rFonts w:eastAsia="Times New Roman" w:cs="Times New Roman"/>
          <w:bCs/>
          <w:noProof w:val="0"/>
          <w:sz w:val="22"/>
          <w:lang w:val="en-GB"/>
        </w:rPr>
        <w:t xml:space="preserve">around five food package distributions/year are organised. Although the product indicators are not currently defined, the Agency implementing food aid projects collects accurate data about the amounts of food products delivered to and distributed </w:t>
      </w:r>
      <w:r w:rsidR="005C1193">
        <w:rPr>
          <w:rFonts w:eastAsia="Times New Roman" w:cs="Times New Roman"/>
          <w:bCs/>
          <w:noProof w:val="0"/>
          <w:sz w:val="22"/>
          <w:lang w:val="en-GB"/>
        </w:rPr>
        <w:t>by</w:t>
      </w:r>
      <w:r w:rsidRPr="002720C2">
        <w:rPr>
          <w:rFonts w:eastAsia="Times New Roman" w:cs="Times New Roman"/>
          <w:bCs/>
          <w:noProof w:val="0"/>
          <w:sz w:val="22"/>
          <w:lang w:val="en-GB"/>
        </w:rPr>
        <w:t xml:space="preserve"> partner organisations. Activities planned in the OP project and products created using the Fund financing (procurement and distribution of food products and basic consumer goods) will directly contribute to the </w:t>
      </w:r>
      <w:r w:rsidR="005C1193">
        <w:rPr>
          <w:rFonts w:eastAsia="Times New Roman" w:cs="Times New Roman"/>
          <w:bCs/>
          <w:noProof w:val="0"/>
          <w:sz w:val="22"/>
          <w:lang w:val="en-GB"/>
        </w:rPr>
        <w:t>results</w:t>
      </w:r>
      <w:r w:rsidRPr="002720C2">
        <w:rPr>
          <w:rFonts w:eastAsia="Times New Roman" w:cs="Times New Roman"/>
          <w:bCs/>
          <w:noProof w:val="0"/>
          <w:sz w:val="22"/>
          <w:lang w:val="en-GB"/>
        </w:rPr>
        <w:t xml:space="preserve"> of the OP – the target values of the most deprived persons receiving support and the Fund’s objective of promoting social cohesion and social inclusion through non-financial support to the most deprived persons thus supplementing the EU Structural Fund</w:t>
      </w:r>
      <w:r w:rsidR="005C1193">
        <w:rPr>
          <w:rFonts w:eastAsia="Times New Roman" w:cs="Times New Roman"/>
          <w:bCs/>
          <w:noProof w:val="0"/>
          <w:sz w:val="22"/>
          <w:lang w:val="en-GB"/>
        </w:rPr>
        <w:t>s</w:t>
      </w:r>
      <w:r w:rsidRPr="002720C2">
        <w:rPr>
          <w:rFonts w:eastAsia="Times New Roman" w:cs="Times New Roman"/>
          <w:bCs/>
          <w:noProof w:val="0"/>
          <w:sz w:val="22"/>
          <w:lang w:val="en-GB"/>
        </w:rPr>
        <w:t xml:space="preserve"> investments</w:t>
      </w:r>
      <w:r w:rsidR="00336A4C" w:rsidRPr="002720C2">
        <w:rPr>
          <w:rFonts w:eastAsia="Times New Roman" w:cs="Times New Roman"/>
          <w:bCs/>
          <w:noProof w:val="0"/>
          <w:sz w:val="22"/>
          <w:lang w:val="en-GB"/>
        </w:rPr>
        <w:t xml:space="preserve">. </w:t>
      </w:r>
    </w:p>
    <w:p w:rsidR="00A52582" w:rsidRPr="002720C2" w:rsidRDefault="00977138" w:rsidP="00065549">
      <w:pPr>
        <w:pStyle w:val="Heading2"/>
        <w:numPr>
          <w:ilvl w:val="0"/>
          <w:numId w:val="6"/>
        </w:numPr>
        <w:spacing w:after="0"/>
        <w:rPr>
          <w:rStyle w:val="Heading1Char"/>
          <w:lang w:val="en-GB"/>
        </w:rPr>
      </w:pPr>
      <w:bookmarkStart w:id="4" w:name="_Toc396222428"/>
      <w:r w:rsidRPr="002720C2">
        <w:rPr>
          <w:rFonts w:eastAsia="Times New Roman" w:cs="Times New Roman"/>
          <w:color w:val="175F6E"/>
          <w:lang w:val="en-GB"/>
        </w:rPr>
        <w:lastRenderedPageBreak/>
        <w:t>OPERATIONAL P</w:t>
      </w:r>
      <w:r w:rsidR="00336A4C" w:rsidRPr="002720C2">
        <w:rPr>
          <w:rFonts w:eastAsia="Times New Roman" w:cs="Times New Roman"/>
          <w:color w:val="175F6E"/>
          <w:lang w:val="en-GB"/>
        </w:rPr>
        <w:t>ROGRAM</w:t>
      </w:r>
      <w:r w:rsidRPr="002720C2">
        <w:rPr>
          <w:rFonts w:eastAsia="Times New Roman" w:cs="Times New Roman"/>
          <w:color w:val="175F6E"/>
          <w:lang w:val="en-GB"/>
        </w:rPr>
        <w:t>ME</w:t>
      </w:r>
      <w:r w:rsidR="00336A4C" w:rsidRPr="002720C2">
        <w:rPr>
          <w:rFonts w:eastAsia="Times New Roman" w:cs="Times New Roman"/>
          <w:color w:val="175F6E"/>
          <w:lang w:val="en-GB"/>
        </w:rPr>
        <w:t xml:space="preserve"> IMPLEMENTATION </w:t>
      </w:r>
      <w:r w:rsidRPr="002720C2">
        <w:rPr>
          <w:rFonts w:eastAsia="Times New Roman" w:cs="Times New Roman"/>
          <w:color w:val="175F6E"/>
          <w:lang w:val="en-GB"/>
        </w:rPr>
        <w:t>SYSTEM</w:t>
      </w:r>
      <w:bookmarkEnd w:id="4"/>
    </w:p>
    <w:p w:rsidR="00596FDB" w:rsidRPr="002720C2" w:rsidRDefault="00065549" w:rsidP="00065549">
      <w:pPr>
        <w:spacing w:before="100" w:beforeAutospacing="1" w:after="100" w:afterAutospacing="1" w:line="260" w:lineRule="atLeast"/>
        <w:ind w:left="851" w:hanging="491"/>
        <w:jc w:val="both"/>
        <w:rPr>
          <w:rFonts w:eastAsia="Times New Roman" w:cs="Times New Roman"/>
          <w:bCs/>
          <w:szCs w:val="24"/>
          <w:lang w:val="en-GB"/>
        </w:rPr>
      </w:pPr>
      <w:r w:rsidRPr="002720C2">
        <w:rPr>
          <w:rFonts w:eastAsia="Times New Roman" w:cs="Times New Roman"/>
          <w:bCs/>
          <w:color w:val="036474"/>
          <w:szCs w:val="24"/>
          <w:lang w:val="en-GB"/>
        </w:rPr>
        <w:t xml:space="preserve">6.  </w:t>
      </w:r>
      <w:r w:rsidR="00E159E5" w:rsidRPr="002720C2">
        <w:rPr>
          <w:rFonts w:eastAsia="Times New Roman" w:cs="Times New Roman"/>
          <w:bCs/>
          <w:color w:val="036474"/>
          <w:szCs w:val="24"/>
          <w:lang w:val="en-GB"/>
        </w:rPr>
        <w:t xml:space="preserve"> </w:t>
      </w:r>
      <w:r w:rsidR="00C257D8" w:rsidRPr="002720C2">
        <w:rPr>
          <w:rFonts w:asciiTheme="majorHAnsi" w:eastAsia="Times New Roman" w:hAnsiTheme="majorHAnsi"/>
          <w:bCs/>
          <w:color w:val="036575"/>
          <w:szCs w:val="24"/>
          <w:lang w:val="en-GB"/>
        </w:rPr>
        <w:t>Are</w:t>
      </w:r>
      <w:r w:rsidR="00E159E5" w:rsidRPr="002720C2">
        <w:rPr>
          <w:rFonts w:asciiTheme="majorHAnsi" w:eastAsia="Times New Roman" w:hAnsiTheme="majorHAnsi"/>
          <w:bCs/>
          <w:color w:val="036575"/>
          <w:szCs w:val="24"/>
          <w:lang w:val="en-GB"/>
        </w:rPr>
        <w:t xml:space="preserve"> the implementation </w:t>
      </w:r>
      <w:r w:rsidR="00C257D8" w:rsidRPr="002720C2">
        <w:rPr>
          <w:rFonts w:asciiTheme="majorHAnsi" w:eastAsia="Times New Roman" w:hAnsiTheme="majorHAnsi"/>
          <w:bCs/>
          <w:color w:val="036575"/>
          <w:szCs w:val="24"/>
          <w:lang w:val="en-GB"/>
        </w:rPr>
        <w:t>system</w:t>
      </w:r>
      <w:r w:rsidR="00E159E5" w:rsidRPr="002720C2">
        <w:rPr>
          <w:rFonts w:asciiTheme="majorHAnsi" w:eastAsia="Times New Roman" w:hAnsiTheme="majorHAnsi"/>
          <w:bCs/>
          <w:color w:val="036575"/>
          <w:szCs w:val="24"/>
          <w:lang w:val="en-GB"/>
        </w:rPr>
        <w:t xml:space="preserve"> and procedures of the operational programme adequate to ensure effective implementation of the operational programme? Are human resources and administrative capacities of both the institutions and beneficiaries sufficient (particularly with regard to the target group)? Is the planned use of technical assistance adequate</w:t>
      </w:r>
      <w:r w:rsidRPr="002720C2">
        <w:rPr>
          <w:rFonts w:eastAsia="Times New Roman" w:cs="Times New Roman"/>
          <w:bCs/>
          <w:color w:val="036575"/>
          <w:szCs w:val="24"/>
          <w:lang w:val="en-GB"/>
        </w:rPr>
        <w:t>?</w:t>
      </w:r>
      <w:r w:rsidR="00AF1C3D" w:rsidRPr="002720C2">
        <w:rPr>
          <w:rFonts w:asciiTheme="majorHAnsi" w:hAnsiTheme="majorHAnsi"/>
          <w:color w:val="036575" w:themeColor="accent5" w:themeTint="E6"/>
          <w:szCs w:val="24"/>
          <w:lang w:val="en-GB"/>
        </w:rPr>
        <w:t xml:space="preserve"> </w:t>
      </w:r>
    </w:p>
    <w:p w:rsidR="001C46F6" w:rsidRPr="002720C2" w:rsidRDefault="001C46F6" w:rsidP="001C46F6">
      <w:pPr>
        <w:ind w:left="360"/>
        <w:jc w:val="both"/>
        <w:rPr>
          <w:rFonts w:eastAsia="Times New Roman" w:cs="Times New Roman"/>
          <w:bCs/>
          <w:sz w:val="22"/>
          <w:lang w:val="en-GB"/>
        </w:rPr>
      </w:pPr>
      <w:r w:rsidRPr="002720C2">
        <w:rPr>
          <w:rFonts w:eastAsia="Times New Roman" w:cs="Times New Roman"/>
          <w:bCs/>
          <w:sz w:val="22"/>
          <w:lang w:val="en-GB"/>
        </w:rPr>
        <w:t xml:space="preserve">The main </w:t>
      </w:r>
      <w:proofErr w:type="gramStart"/>
      <w:r w:rsidRPr="002720C2">
        <w:rPr>
          <w:rFonts w:eastAsia="Times New Roman" w:cs="Times New Roman"/>
          <w:bCs/>
          <w:sz w:val="22"/>
          <w:lang w:val="en-GB"/>
        </w:rPr>
        <w:t xml:space="preserve">authorities responsible for support provided </w:t>
      </w:r>
      <w:r w:rsidRPr="002720C2">
        <w:rPr>
          <w:rFonts w:asciiTheme="minorHAnsi" w:eastAsia="Times New Roman" w:hAnsiTheme="minorHAnsi" w:cs="Times New Roman"/>
          <w:sz w:val="22"/>
          <w:lang w:val="en-GB"/>
        </w:rPr>
        <w:t xml:space="preserve">by </w:t>
      </w:r>
      <w:r w:rsidRPr="002720C2">
        <w:rPr>
          <w:sz w:val="22"/>
          <w:lang w:val="en-GB"/>
        </w:rPr>
        <w:t>the Fund for European Aid to the Most Deprived</w:t>
      </w:r>
      <w:r w:rsidRPr="002720C2">
        <w:rPr>
          <w:rFonts w:asciiTheme="minorHAnsi" w:eastAsia="Times New Roman" w:hAnsiTheme="minorHAnsi" w:cs="Times New Roman"/>
          <w:sz w:val="22"/>
          <w:lang w:val="en-GB"/>
        </w:rPr>
        <w:t xml:space="preserve"> </w:t>
      </w:r>
      <w:r w:rsidRPr="002720C2">
        <w:rPr>
          <w:rFonts w:eastAsia="Times New Roman" w:cs="Times New Roman"/>
          <w:bCs/>
          <w:sz w:val="22"/>
          <w:lang w:val="en-GB"/>
        </w:rPr>
        <w:t>in 2014–2020 is</w:t>
      </w:r>
      <w:proofErr w:type="gramEnd"/>
      <w:r w:rsidRPr="002720C2">
        <w:rPr>
          <w:rFonts w:eastAsia="Times New Roman" w:cs="Times New Roman"/>
          <w:bCs/>
          <w:sz w:val="22"/>
          <w:lang w:val="en-GB"/>
        </w:rPr>
        <w:t xml:space="preserve"> the Ministry of Social </w:t>
      </w:r>
      <w:r w:rsidR="005C1193">
        <w:rPr>
          <w:rFonts w:eastAsia="Times New Roman" w:cs="Times New Roman"/>
          <w:bCs/>
          <w:sz w:val="22"/>
          <w:lang w:val="en-GB"/>
        </w:rPr>
        <w:t>Affairs and Labour (Managing and Audit A</w:t>
      </w:r>
      <w:r w:rsidRPr="002720C2">
        <w:rPr>
          <w:rFonts w:eastAsia="Times New Roman" w:cs="Times New Roman"/>
          <w:bCs/>
          <w:sz w:val="22"/>
          <w:lang w:val="en-GB"/>
        </w:rPr>
        <w:t>uthority) and th</w:t>
      </w:r>
      <w:r w:rsidR="005C1193">
        <w:rPr>
          <w:rFonts w:eastAsia="Times New Roman" w:cs="Times New Roman"/>
          <w:bCs/>
          <w:sz w:val="22"/>
          <w:lang w:val="en-GB"/>
        </w:rPr>
        <w:t>e European Social Fund Agency (Intermediary and Certifying A</w:t>
      </w:r>
      <w:r w:rsidRPr="002720C2">
        <w:rPr>
          <w:rFonts w:eastAsia="Times New Roman" w:cs="Times New Roman"/>
          <w:bCs/>
          <w:sz w:val="22"/>
          <w:lang w:val="en-GB"/>
        </w:rPr>
        <w:t xml:space="preserve">uthority). Both of these authorities have experience in planning and administering EU-funded interventions and also of working in the area of poverty reduction. During the preparation of OP, a temporary procedure for </w:t>
      </w:r>
      <w:r w:rsidRPr="002720C2">
        <w:rPr>
          <w:sz w:val="22"/>
          <w:lang w:val="en-GB"/>
        </w:rPr>
        <w:t>selecting the state projects co-financed by the Fund for European Aid to the Most Deprived for 2</w:t>
      </w:r>
      <w:r w:rsidRPr="002720C2">
        <w:rPr>
          <w:rStyle w:val="hps"/>
          <w:sz w:val="22"/>
          <w:lang w:val="en-GB"/>
        </w:rPr>
        <w:t>014–2020 was approved. It establishes</w:t>
      </w:r>
      <w:r w:rsidRPr="002720C2">
        <w:rPr>
          <w:rFonts w:eastAsia="Times New Roman" w:cs="Times New Roman"/>
          <w:bCs/>
          <w:sz w:val="22"/>
          <w:lang w:val="en-GB"/>
        </w:rPr>
        <w:t xml:space="preserve"> how the projects will be selected until EU and national legal acts governing the use of the Fund</w:t>
      </w:r>
      <w:r w:rsidRPr="002720C2">
        <w:rPr>
          <w:sz w:val="22"/>
          <w:lang w:val="en-GB"/>
        </w:rPr>
        <w:t xml:space="preserve"> in 2</w:t>
      </w:r>
      <w:r w:rsidRPr="002720C2">
        <w:rPr>
          <w:rStyle w:val="hps"/>
          <w:sz w:val="22"/>
          <w:lang w:val="en-GB"/>
        </w:rPr>
        <w:t xml:space="preserve">014–2020 </w:t>
      </w:r>
      <w:r w:rsidR="00D5558C">
        <w:rPr>
          <w:rStyle w:val="hps"/>
          <w:sz w:val="22"/>
          <w:lang w:val="en-GB"/>
        </w:rPr>
        <w:t>are approved</w:t>
      </w:r>
      <w:r w:rsidRPr="002720C2">
        <w:rPr>
          <w:rFonts w:eastAsia="Times New Roman" w:cs="Times New Roman"/>
          <w:bCs/>
          <w:sz w:val="22"/>
          <w:lang w:val="en-GB"/>
        </w:rPr>
        <w:t>. The temporary procedure was approved in order to start the procurement procedure in due time and to ensure c</w:t>
      </w:r>
      <w:r w:rsidR="00D5558C">
        <w:rPr>
          <w:rFonts w:eastAsia="Times New Roman" w:cs="Times New Roman"/>
          <w:bCs/>
          <w:sz w:val="22"/>
          <w:lang w:val="en-GB"/>
        </w:rPr>
        <w:t>ontinuity of activities of the Food Distribution Programme from I</w:t>
      </w:r>
      <w:r w:rsidRPr="002720C2">
        <w:rPr>
          <w:rFonts w:eastAsia="Times New Roman" w:cs="Times New Roman"/>
          <w:bCs/>
          <w:sz w:val="22"/>
          <w:lang w:val="en-GB"/>
        </w:rPr>
        <w:t>nter</w:t>
      </w:r>
      <w:r w:rsidR="00D5558C">
        <w:rPr>
          <w:rFonts w:eastAsia="Times New Roman" w:cs="Times New Roman"/>
          <w:bCs/>
          <w:sz w:val="22"/>
          <w:lang w:val="en-GB"/>
        </w:rPr>
        <w:t>vention Stocks for the Most Deprived P</w:t>
      </w:r>
      <w:r w:rsidRPr="002720C2">
        <w:rPr>
          <w:rFonts w:eastAsia="Times New Roman" w:cs="Times New Roman"/>
          <w:bCs/>
          <w:sz w:val="22"/>
          <w:lang w:val="en-GB"/>
        </w:rPr>
        <w:t xml:space="preserve">ersons” implemented by the end of 2013. These actions show that the </w:t>
      </w:r>
      <w:r w:rsidR="00D5558C">
        <w:rPr>
          <w:rFonts w:eastAsia="Times New Roman" w:cs="Times New Roman"/>
          <w:bCs/>
          <w:sz w:val="22"/>
          <w:lang w:val="en-GB"/>
        </w:rPr>
        <w:t>institutions</w:t>
      </w:r>
      <w:r w:rsidRPr="002720C2">
        <w:rPr>
          <w:rFonts w:eastAsia="Times New Roman" w:cs="Times New Roman"/>
          <w:bCs/>
          <w:sz w:val="22"/>
          <w:lang w:val="en-GB"/>
        </w:rPr>
        <w:t xml:space="preserve"> specified in the </w:t>
      </w:r>
      <w:r w:rsidR="00D5558C">
        <w:rPr>
          <w:rFonts w:eastAsia="Times New Roman" w:cs="Times New Roman"/>
          <w:bCs/>
          <w:sz w:val="22"/>
          <w:lang w:val="en-GB"/>
        </w:rPr>
        <w:t xml:space="preserve">draft </w:t>
      </w:r>
      <w:r w:rsidRPr="002720C2">
        <w:rPr>
          <w:rFonts w:eastAsia="Times New Roman" w:cs="Times New Roman"/>
          <w:bCs/>
          <w:sz w:val="22"/>
          <w:lang w:val="en-GB"/>
        </w:rPr>
        <w:t xml:space="preserve">OP </w:t>
      </w:r>
      <w:r w:rsidR="00D5558C">
        <w:rPr>
          <w:rFonts w:eastAsia="Times New Roman" w:cs="Times New Roman"/>
          <w:bCs/>
          <w:sz w:val="22"/>
          <w:lang w:val="en-GB"/>
        </w:rPr>
        <w:t>as</w:t>
      </w:r>
      <w:r w:rsidRPr="002720C2">
        <w:rPr>
          <w:rFonts w:eastAsia="Times New Roman" w:cs="Times New Roman"/>
          <w:bCs/>
          <w:sz w:val="22"/>
          <w:lang w:val="en-GB"/>
        </w:rPr>
        <w:t xml:space="preserve"> administering </w:t>
      </w:r>
      <w:r w:rsidR="00D5558C">
        <w:rPr>
          <w:rFonts w:eastAsia="Times New Roman" w:cs="Times New Roman"/>
          <w:bCs/>
          <w:sz w:val="22"/>
          <w:lang w:val="en-GB"/>
        </w:rPr>
        <w:t xml:space="preserve">authorities </w:t>
      </w:r>
      <w:r w:rsidRPr="002720C2">
        <w:rPr>
          <w:rFonts w:eastAsia="Times New Roman" w:cs="Times New Roman"/>
          <w:bCs/>
          <w:sz w:val="22"/>
          <w:lang w:val="en-GB"/>
        </w:rPr>
        <w:t xml:space="preserve">of </w:t>
      </w:r>
      <w:r w:rsidRPr="002720C2">
        <w:rPr>
          <w:sz w:val="22"/>
          <w:lang w:val="en-GB"/>
        </w:rPr>
        <w:t>the Fund for European Aid to the Most Deprived</w:t>
      </w:r>
      <w:r w:rsidRPr="002720C2">
        <w:rPr>
          <w:rFonts w:eastAsia="Times New Roman" w:cs="Times New Roman"/>
          <w:bCs/>
          <w:sz w:val="22"/>
          <w:lang w:val="en-GB"/>
        </w:rPr>
        <w:t xml:space="preserve"> have administrative capacity to ensure</w:t>
      </w:r>
      <w:r w:rsidR="008623F4">
        <w:rPr>
          <w:rFonts w:eastAsia="Times New Roman" w:cs="Times New Roman"/>
          <w:bCs/>
          <w:sz w:val="22"/>
          <w:lang w:val="en-GB"/>
        </w:rPr>
        <w:t xml:space="preserve"> proper implementation of the Operational P</w:t>
      </w:r>
      <w:r w:rsidRPr="002720C2">
        <w:rPr>
          <w:rFonts w:eastAsia="Times New Roman" w:cs="Times New Roman"/>
          <w:bCs/>
          <w:sz w:val="22"/>
          <w:lang w:val="en-GB"/>
        </w:rPr>
        <w:t xml:space="preserve">rogramme. </w:t>
      </w:r>
    </w:p>
    <w:p w:rsidR="001C46F6" w:rsidRPr="002720C2" w:rsidRDefault="001C46F6" w:rsidP="001C46F6">
      <w:pPr>
        <w:ind w:left="360"/>
        <w:jc w:val="both"/>
        <w:rPr>
          <w:rFonts w:eastAsia="Times New Roman" w:cs="Times New Roman"/>
          <w:bCs/>
          <w:sz w:val="22"/>
          <w:lang w:val="en-GB"/>
        </w:rPr>
      </w:pPr>
    </w:p>
    <w:p w:rsidR="001C46F6" w:rsidRPr="002720C2" w:rsidRDefault="001C46F6" w:rsidP="008623F4">
      <w:pPr>
        <w:ind w:left="360"/>
        <w:jc w:val="both"/>
        <w:rPr>
          <w:rFonts w:eastAsia="Times New Roman" w:cs="Times New Roman"/>
          <w:bCs/>
          <w:sz w:val="22"/>
          <w:lang w:val="en-GB"/>
        </w:rPr>
      </w:pPr>
      <w:r w:rsidRPr="002720C2">
        <w:rPr>
          <w:rFonts w:eastAsia="Times New Roman" w:cs="Times New Roman"/>
          <w:bCs/>
          <w:sz w:val="22"/>
          <w:lang w:val="en-GB"/>
        </w:rPr>
        <w:t xml:space="preserve">Although the distribution of </w:t>
      </w:r>
      <w:r w:rsidR="00D5558C">
        <w:rPr>
          <w:rFonts w:eastAsia="Times New Roman" w:cs="Times New Roman"/>
          <w:bCs/>
          <w:sz w:val="22"/>
          <w:lang w:val="en-GB"/>
        </w:rPr>
        <w:t>functions</w:t>
      </w:r>
      <w:r w:rsidRPr="002720C2">
        <w:rPr>
          <w:rFonts w:eastAsia="Times New Roman" w:cs="Times New Roman"/>
          <w:bCs/>
          <w:sz w:val="22"/>
          <w:lang w:val="en-GB"/>
        </w:rPr>
        <w:t xml:space="preserve"> and responsibilities between the authorities responsible for the implementation of the OP will be established </w:t>
      </w:r>
      <w:r w:rsidR="008623F4">
        <w:rPr>
          <w:rFonts w:eastAsia="Times New Roman" w:cs="Times New Roman"/>
          <w:bCs/>
          <w:sz w:val="22"/>
          <w:lang w:val="en-GB"/>
        </w:rPr>
        <w:t>only after the approval of the Operational P</w:t>
      </w:r>
      <w:r w:rsidRPr="002720C2">
        <w:rPr>
          <w:rFonts w:eastAsia="Times New Roman" w:cs="Times New Roman"/>
          <w:bCs/>
          <w:sz w:val="22"/>
          <w:lang w:val="en-GB"/>
        </w:rPr>
        <w:t>rogramme, during the preparation of the OP a Monitoring Committee was formed</w:t>
      </w:r>
      <w:r w:rsidRPr="002720C2">
        <w:rPr>
          <w:rStyle w:val="FootnoteReference"/>
          <w:rFonts w:cs="Arial"/>
          <w:sz w:val="22"/>
          <w:lang w:val="en-GB"/>
        </w:rPr>
        <w:footnoteReference w:id="23"/>
      </w:r>
      <w:r w:rsidRPr="002720C2">
        <w:rPr>
          <w:rFonts w:eastAsia="Times New Roman" w:cs="Times New Roman"/>
          <w:bCs/>
          <w:sz w:val="22"/>
          <w:lang w:val="en-GB"/>
        </w:rPr>
        <w:t xml:space="preserve">. It is composed of representatives of state institutions, municipal governments and non-governmental organisations working in the area of poverty reduction. During the implementation of the </w:t>
      </w:r>
      <w:r w:rsidR="008623F4">
        <w:rPr>
          <w:rFonts w:eastAsia="Times New Roman" w:cs="Times New Roman"/>
          <w:bCs/>
          <w:sz w:val="22"/>
          <w:lang w:val="en-GB"/>
        </w:rPr>
        <w:t>Operational P</w:t>
      </w:r>
      <w:r w:rsidRPr="002720C2">
        <w:rPr>
          <w:rFonts w:eastAsia="Times New Roman" w:cs="Times New Roman"/>
          <w:bCs/>
          <w:sz w:val="22"/>
          <w:lang w:val="en-GB"/>
        </w:rPr>
        <w:t>rogramme, the Monitoring Committee will consider annual and final OP implementation reports and project</w:t>
      </w:r>
      <w:r w:rsidR="00066652">
        <w:rPr>
          <w:rFonts w:eastAsia="Times New Roman" w:cs="Times New Roman"/>
          <w:bCs/>
          <w:sz w:val="22"/>
          <w:lang w:val="en-GB"/>
        </w:rPr>
        <w:t>s</w:t>
      </w:r>
      <w:r w:rsidRPr="002720C2">
        <w:rPr>
          <w:rFonts w:eastAsia="Times New Roman" w:cs="Times New Roman"/>
          <w:bCs/>
          <w:sz w:val="22"/>
          <w:lang w:val="en-GB"/>
        </w:rPr>
        <w:t xml:space="preserve"> implemen</w:t>
      </w:r>
      <w:r w:rsidR="00066652">
        <w:rPr>
          <w:rFonts w:eastAsia="Times New Roman" w:cs="Times New Roman"/>
          <w:bCs/>
          <w:sz w:val="22"/>
          <w:lang w:val="en-GB"/>
        </w:rPr>
        <w:t>tation results. Members of the C</w:t>
      </w:r>
      <w:r w:rsidRPr="002720C2">
        <w:rPr>
          <w:rFonts w:eastAsia="Times New Roman" w:cs="Times New Roman"/>
          <w:bCs/>
          <w:sz w:val="22"/>
          <w:lang w:val="en-GB"/>
        </w:rPr>
        <w:t xml:space="preserve">ommittee may make proposals regarding improvement of the implementation of the OP. This is aimed at ensuring effective implementation of the OP and achievement of the Fund’s objectives.  </w:t>
      </w:r>
    </w:p>
    <w:p w:rsidR="00B52EB8" w:rsidRPr="002720C2" w:rsidRDefault="001C46F6" w:rsidP="001C46F6">
      <w:pPr>
        <w:spacing w:before="100" w:beforeAutospacing="1" w:after="100" w:afterAutospacing="1"/>
        <w:ind w:left="357"/>
        <w:jc w:val="both"/>
        <w:rPr>
          <w:rFonts w:eastAsia="Times New Roman" w:cs="Times New Roman"/>
          <w:bCs/>
          <w:sz w:val="22"/>
          <w:lang w:val="en-GB"/>
        </w:rPr>
      </w:pPr>
      <w:r w:rsidRPr="002720C2">
        <w:rPr>
          <w:rFonts w:eastAsia="Times New Roman" w:cs="Times New Roman"/>
          <w:bCs/>
          <w:sz w:val="22"/>
          <w:lang w:val="en-GB"/>
        </w:rPr>
        <w:t xml:space="preserve">However, in order that the Monitoring Committee can carry out its functions properly, </w:t>
      </w:r>
      <w:r w:rsidR="00066652" w:rsidRPr="002720C2">
        <w:rPr>
          <w:rFonts w:eastAsia="Times New Roman" w:cs="Times New Roman"/>
          <w:bCs/>
          <w:sz w:val="22"/>
          <w:lang w:val="en-GB"/>
        </w:rPr>
        <w:t xml:space="preserve">the relevant and reliable data on monitoring the OP implementation </w:t>
      </w:r>
      <w:r w:rsidRPr="002720C2">
        <w:rPr>
          <w:rFonts w:eastAsia="Times New Roman" w:cs="Times New Roman"/>
          <w:bCs/>
          <w:sz w:val="22"/>
          <w:lang w:val="en-GB"/>
        </w:rPr>
        <w:t xml:space="preserve">must be </w:t>
      </w:r>
      <w:r w:rsidR="00066652">
        <w:rPr>
          <w:rFonts w:eastAsia="Times New Roman" w:cs="Times New Roman"/>
          <w:bCs/>
          <w:sz w:val="22"/>
          <w:lang w:val="en-GB"/>
        </w:rPr>
        <w:t>available for its members. The draft Operational Programme did</w:t>
      </w:r>
      <w:r w:rsidRPr="002720C2">
        <w:rPr>
          <w:rFonts w:eastAsia="Times New Roman" w:cs="Times New Roman"/>
          <w:bCs/>
          <w:sz w:val="22"/>
          <w:lang w:val="en-GB"/>
        </w:rPr>
        <w:t xml:space="preserve"> not provide information as to which institution will be responsible for the collection of data on monitoring and in what way this will be carried out. Du</w:t>
      </w:r>
      <w:r w:rsidR="00066652">
        <w:rPr>
          <w:rFonts w:eastAsia="Times New Roman" w:cs="Times New Roman"/>
          <w:bCs/>
          <w:sz w:val="22"/>
          <w:lang w:val="en-GB"/>
        </w:rPr>
        <w:t>ring the implementation of the Food Distribution P</w:t>
      </w:r>
      <w:r w:rsidRPr="002720C2">
        <w:rPr>
          <w:rFonts w:eastAsia="Times New Roman" w:cs="Times New Roman"/>
          <w:bCs/>
          <w:sz w:val="22"/>
          <w:lang w:val="en-GB"/>
        </w:rPr>
        <w:t>ro</w:t>
      </w:r>
      <w:r w:rsidR="00066652">
        <w:rPr>
          <w:rFonts w:eastAsia="Times New Roman" w:cs="Times New Roman"/>
          <w:bCs/>
          <w:sz w:val="22"/>
          <w:lang w:val="en-GB"/>
        </w:rPr>
        <w:t>gramme from Intervention S</w:t>
      </w:r>
      <w:r w:rsidRPr="002720C2">
        <w:rPr>
          <w:rFonts w:eastAsia="Times New Roman" w:cs="Times New Roman"/>
          <w:bCs/>
          <w:sz w:val="22"/>
          <w:lang w:val="en-GB"/>
        </w:rPr>
        <w:t xml:space="preserve">tocks for the </w:t>
      </w:r>
      <w:r w:rsidR="00066652">
        <w:rPr>
          <w:rFonts w:eastAsia="Times New Roman" w:cs="Times New Roman"/>
          <w:bCs/>
          <w:sz w:val="22"/>
          <w:lang w:val="en-GB"/>
        </w:rPr>
        <w:t>Most Deprived Persons</w:t>
      </w:r>
      <w:r w:rsidRPr="002720C2">
        <w:rPr>
          <w:rFonts w:eastAsia="Times New Roman" w:cs="Times New Roman"/>
          <w:bCs/>
          <w:sz w:val="22"/>
          <w:lang w:val="en-GB"/>
        </w:rPr>
        <w:t xml:space="preserve"> and </w:t>
      </w:r>
      <w:proofErr w:type="gramStart"/>
      <w:r w:rsidRPr="002720C2">
        <w:rPr>
          <w:rFonts w:eastAsia="Times New Roman" w:cs="Times New Roman"/>
          <w:bCs/>
          <w:sz w:val="22"/>
          <w:lang w:val="en-GB"/>
        </w:rPr>
        <w:t>the  project</w:t>
      </w:r>
      <w:proofErr w:type="gramEnd"/>
      <w:r w:rsidRPr="002720C2">
        <w:rPr>
          <w:rFonts w:eastAsia="Times New Roman" w:cs="Times New Roman"/>
          <w:bCs/>
          <w:sz w:val="22"/>
          <w:lang w:val="en-GB"/>
        </w:rPr>
        <w:t xml:space="preserve"> co-financed by the Fund</w:t>
      </w:r>
      <w:r w:rsidR="00066652">
        <w:rPr>
          <w:rFonts w:eastAsia="Times New Roman" w:cs="Times New Roman"/>
          <w:bCs/>
          <w:sz w:val="22"/>
          <w:lang w:val="en-GB"/>
        </w:rPr>
        <w:t xml:space="preserve"> in </w:t>
      </w:r>
      <w:r w:rsidR="00066652" w:rsidRPr="002720C2">
        <w:rPr>
          <w:rFonts w:eastAsia="Times New Roman" w:cs="Times New Roman"/>
          <w:bCs/>
          <w:sz w:val="22"/>
          <w:lang w:val="en-GB"/>
        </w:rPr>
        <w:t>2014</w:t>
      </w:r>
      <w:r w:rsidRPr="002720C2">
        <w:rPr>
          <w:rFonts w:eastAsia="Times New Roman" w:cs="Times New Roman"/>
          <w:bCs/>
          <w:sz w:val="22"/>
          <w:lang w:val="en-GB"/>
        </w:rPr>
        <w:t xml:space="preserve">, the major part of the data about the implementation of project activities provided by partner organisations is collected by the project </w:t>
      </w:r>
      <w:r w:rsidR="00066652">
        <w:rPr>
          <w:rFonts w:eastAsia="Times New Roman" w:cs="Times New Roman"/>
          <w:bCs/>
          <w:sz w:val="22"/>
          <w:lang w:val="en-GB"/>
        </w:rPr>
        <w:t>manager</w:t>
      </w:r>
      <w:r w:rsidRPr="002720C2">
        <w:rPr>
          <w:rFonts w:eastAsia="Times New Roman" w:cs="Times New Roman"/>
          <w:bCs/>
          <w:sz w:val="22"/>
          <w:lang w:val="en-GB"/>
        </w:rPr>
        <w:t xml:space="preserve"> who then </w:t>
      </w:r>
      <w:r w:rsidR="00066652">
        <w:rPr>
          <w:rFonts w:eastAsia="Times New Roman" w:cs="Times New Roman"/>
          <w:bCs/>
          <w:sz w:val="22"/>
          <w:lang w:val="en-GB"/>
        </w:rPr>
        <w:t>submits</w:t>
      </w:r>
      <w:r w:rsidRPr="002720C2">
        <w:rPr>
          <w:rFonts w:eastAsia="Times New Roman" w:cs="Times New Roman"/>
          <w:bCs/>
          <w:sz w:val="22"/>
          <w:lang w:val="en-GB"/>
        </w:rPr>
        <w:t xml:space="preserve"> this </w:t>
      </w:r>
      <w:r w:rsidRPr="002720C2">
        <w:rPr>
          <w:rFonts w:eastAsia="Times New Roman" w:cs="Times New Roman"/>
          <w:bCs/>
          <w:sz w:val="22"/>
          <w:lang w:val="en-GB"/>
        </w:rPr>
        <w:lastRenderedPageBreak/>
        <w:t xml:space="preserve">data together with </w:t>
      </w:r>
      <w:r w:rsidR="00066652">
        <w:rPr>
          <w:rFonts w:eastAsia="Times New Roman" w:cs="Times New Roman"/>
          <w:bCs/>
          <w:sz w:val="22"/>
          <w:lang w:val="en-GB"/>
        </w:rPr>
        <w:t xml:space="preserve">the </w:t>
      </w:r>
      <w:r w:rsidR="00066652" w:rsidRPr="002720C2">
        <w:rPr>
          <w:rFonts w:eastAsia="Times New Roman" w:cs="Times New Roman"/>
          <w:bCs/>
          <w:sz w:val="22"/>
          <w:lang w:val="en-GB"/>
        </w:rPr>
        <w:t xml:space="preserve">requests </w:t>
      </w:r>
      <w:r w:rsidR="00066652">
        <w:rPr>
          <w:rFonts w:eastAsia="Times New Roman" w:cs="Times New Roman"/>
          <w:bCs/>
          <w:sz w:val="22"/>
          <w:lang w:val="en-GB"/>
        </w:rPr>
        <w:t xml:space="preserve">for </w:t>
      </w:r>
      <w:r w:rsidRPr="002720C2">
        <w:rPr>
          <w:rFonts w:eastAsia="Times New Roman" w:cs="Times New Roman"/>
          <w:bCs/>
          <w:sz w:val="22"/>
          <w:lang w:val="en-GB"/>
        </w:rPr>
        <w:t xml:space="preserve">payment to the authority in charge. Given the scope of financing and the common monitoring indicators planned to be approved by the European Commission, collection and storage of such data in the future without the appropriate information system will be difficult and will significantly increase the administrative burden on the project </w:t>
      </w:r>
      <w:r w:rsidR="00066652">
        <w:rPr>
          <w:rFonts w:eastAsia="Times New Roman" w:cs="Times New Roman"/>
          <w:bCs/>
          <w:sz w:val="22"/>
          <w:lang w:val="en-GB"/>
        </w:rPr>
        <w:t>manager</w:t>
      </w:r>
      <w:r w:rsidRPr="002720C2">
        <w:rPr>
          <w:rFonts w:eastAsia="Times New Roman" w:cs="Times New Roman"/>
          <w:bCs/>
          <w:sz w:val="22"/>
          <w:lang w:val="en-GB"/>
        </w:rPr>
        <w:t>, partner organisations and the authority to which the reports regarding the costs incurred during the implementation of the project and results achieved will be submitted</w:t>
      </w:r>
      <w:r w:rsidR="00065549" w:rsidRPr="002720C2">
        <w:rPr>
          <w:rFonts w:eastAsia="Times New Roman" w:cs="Times New Roman"/>
          <w:bCs/>
          <w:sz w:val="22"/>
          <w:lang w:val="en-GB"/>
        </w:rPr>
        <w:t xml:space="preserve">. </w:t>
      </w:r>
    </w:p>
    <w:tbl>
      <w:tblPr>
        <w:tblStyle w:val="VPVILentele1"/>
        <w:tblW w:w="0" w:type="auto"/>
        <w:tblInd w:w="534" w:type="dxa"/>
        <w:tblLook w:val="04A0" w:firstRow="1" w:lastRow="0" w:firstColumn="1" w:lastColumn="0" w:noHBand="0" w:noVBand="1"/>
      </w:tblPr>
      <w:tblGrid>
        <w:gridCol w:w="9639"/>
      </w:tblGrid>
      <w:tr w:rsidR="002F1C3F" w:rsidRPr="002720C2" w:rsidTr="00FB7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tcPr>
          <w:p w:rsidR="002F1C3F" w:rsidRPr="002720C2" w:rsidRDefault="00066652" w:rsidP="00066652">
            <w:pPr>
              <w:jc w:val="both"/>
              <w:rPr>
                <w:lang w:val="en-GB"/>
              </w:rPr>
            </w:pPr>
            <w:r>
              <w:rPr>
                <w:lang w:val="en-GB"/>
              </w:rPr>
              <w:t>Taken into account</w:t>
            </w:r>
          </w:p>
        </w:tc>
      </w:tr>
      <w:tr w:rsidR="002F1C3F" w:rsidRPr="002720C2" w:rsidTr="00FB7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A90B03" w:rsidRPr="002720C2" w:rsidRDefault="002B2434" w:rsidP="007C3C97">
            <w:pPr>
              <w:jc w:val="both"/>
              <w:rPr>
                <w:rFonts w:eastAsia="Times New Roman" w:cs="Times New Roman"/>
                <w:bCs/>
                <w:sz w:val="22"/>
                <w:lang w:val="en-GB"/>
              </w:rPr>
            </w:pPr>
            <w:r>
              <w:rPr>
                <w:rFonts w:eastAsia="Times New Roman" w:cs="Times New Roman"/>
                <w:b/>
                <w:sz w:val="22"/>
                <w:lang w:val="en-GB"/>
              </w:rPr>
              <w:t>Recommendation 6</w:t>
            </w:r>
            <w:r w:rsidR="00065549" w:rsidRPr="002720C2">
              <w:rPr>
                <w:rFonts w:eastAsia="Times New Roman" w:cs="Times New Roman"/>
                <w:b/>
                <w:sz w:val="22"/>
                <w:lang w:val="en-GB"/>
              </w:rPr>
              <w:t xml:space="preserve">. </w:t>
            </w:r>
            <w:r w:rsidR="00065549" w:rsidRPr="002720C2">
              <w:rPr>
                <w:rFonts w:eastAsia="Times New Roman" w:cs="Times New Roman"/>
                <w:bCs/>
                <w:sz w:val="22"/>
                <w:lang w:val="en-GB"/>
              </w:rPr>
              <w:t xml:space="preserve">Given the </w:t>
            </w:r>
            <w:r w:rsidR="00A90B03" w:rsidRPr="002720C2">
              <w:rPr>
                <w:rFonts w:eastAsia="Times New Roman" w:cs="Times New Roman"/>
                <w:bCs/>
                <w:sz w:val="22"/>
                <w:lang w:val="en-GB"/>
              </w:rPr>
              <w:t xml:space="preserve">scope of OP activities and </w:t>
            </w:r>
            <w:r w:rsidR="00065549" w:rsidRPr="002720C2">
              <w:rPr>
                <w:rFonts w:eastAsia="Times New Roman" w:cs="Times New Roman"/>
                <w:bCs/>
                <w:sz w:val="22"/>
                <w:lang w:val="en-GB"/>
              </w:rPr>
              <w:t xml:space="preserve">the planned application of </w:t>
            </w:r>
            <w:r w:rsidR="00A90B03" w:rsidRPr="002720C2">
              <w:rPr>
                <w:rFonts w:eastAsia="Times New Roman" w:cs="Times New Roman"/>
                <w:bCs/>
                <w:sz w:val="22"/>
                <w:lang w:val="en-GB"/>
              </w:rPr>
              <w:t xml:space="preserve">common monitoring indicators, </w:t>
            </w:r>
            <w:r w:rsidR="007C3C97">
              <w:rPr>
                <w:rFonts w:eastAsia="Times New Roman" w:cs="Times New Roman"/>
                <w:bCs/>
                <w:sz w:val="22"/>
                <w:lang w:val="en-GB"/>
              </w:rPr>
              <w:t>in the draft Operational P</w:t>
            </w:r>
            <w:r w:rsidR="007C3C97" w:rsidRPr="002720C2">
              <w:rPr>
                <w:rFonts w:eastAsia="Times New Roman" w:cs="Times New Roman"/>
                <w:bCs/>
                <w:sz w:val="22"/>
                <w:lang w:val="en-GB"/>
              </w:rPr>
              <w:t xml:space="preserve">rogramme </w:t>
            </w:r>
            <w:r w:rsidR="007C3C97">
              <w:rPr>
                <w:rFonts w:eastAsia="Times New Roman" w:cs="Times New Roman"/>
                <w:bCs/>
                <w:sz w:val="22"/>
                <w:lang w:val="en-GB"/>
              </w:rPr>
              <w:t>to suppose</w:t>
            </w:r>
            <w:r w:rsidR="00A90B03" w:rsidRPr="002720C2">
              <w:rPr>
                <w:rFonts w:eastAsia="Times New Roman" w:cs="Times New Roman"/>
                <w:bCs/>
                <w:sz w:val="22"/>
                <w:lang w:val="en-GB"/>
              </w:rPr>
              <w:t xml:space="preserve"> f</w:t>
            </w:r>
            <w:r w:rsidR="007C3C97">
              <w:rPr>
                <w:rFonts w:eastAsia="Times New Roman" w:cs="Times New Roman"/>
                <w:bCs/>
                <w:sz w:val="22"/>
                <w:lang w:val="en-GB"/>
              </w:rPr>
              <w:t xml:space="preserve">or an opportunity </w:t>
            </w:r>
            <w:r w:rsidR="00A90B03" w:rsidRPr="002720C2">
              <w:rPr>
                <w:rFonts w:eastAsia="Times New Roman" w:cs="Times New Roman"/>
                <w:bCs/>
                <w:sz w:val="22"/>
                <w:lang w:val="en-GB"/>
              </w:rPr>
              <w:t xml:space="preserve">to introduce </w:t>
            </w:r>
            <w:r w:rsidR="00AB2950">
              <w:rPr>
                <w:rFonts w:eastAsia="Times New Roman" w:cs="Times New Roman"/>
                <w:bCs/>
                <w:sz w:val="22"/>
                <w:lang w:val="en-GB"/>
              </w:rPr>
              <w:t>a computerised</w:t>
            </w:r>
            <w:r w:rsidR="00065549" w:rsidRPr="002720C2">
              <w:rPr>
                <w:rFonts w:eastAsia="Times New Roman" w:cs="Times New Roman"/>
                <w:bCs/>
                <w:sz w:val="22"/>
                <w:lang w:val="en-GB"/>
              </w:rPr>
              <w:t xml:space="preserve"> information system for monitoring </w:t>
            </w:r>
            <w:r w:rsidR="00A90B03" w:rsidRPr="002720C2">
              <w:rPr>
                <w:rFonts w:eastAsia="Times New Roman" w:cs="Times New Roman"/>
                <w:bCs/>
                <w:sz w:val="22"/>
                <w:lang w:val="en-GB"/>
              </w:rPr>
              <w:t xml:space="preserve">OP </w:t>
            </w:r>
            <w:r w:rsidR="00065549" w:rsidRPr="002720C2">
              <w:rPr>
                <w:rFonts w:eastAsia="Times New Roman" w:cs="Times New Roman"/>
                <w:bCs/>
                <w:sz w:val="22"/>
                <w:lang w:val="en-GB"/>
              </w:rPr>
              <w:t>implementation</w:t>
            </w:r>
            <w:r w:rsidR="00A90B03" w:rsidRPr="002720C2">
              <w:rPr>
                <w:rFonts w:eastAsia="Times New Roman" w:cs="Times New Roman"/>
                <w:bCs/>
                <w:sz w:val="22"/>
                <w:lang w:val="en-GB"/>
              </w:rPr>
              <w:t xml:space="preserve">. The system </w:t>
            </w:r>
            <w:r w:rsidR="00065549" w:rsidRPr="002720C2">
              <w:rPr>
                <w:rFonts w:eastAsia="Times New Roman" w:cs="Times New Roman"/>
                <w:bCs/>
                <w:sz w:val="22"/>
                <w:lang w:val="en-GB"/>
              </w:rPr>
              <w:t xml:space="preserve">could </w:t>
            </w:r>
            <w:r w:rsidR="00A90B03" w:rsidRPr="002720C2">
              <w:rPr>
                <w:rFonts w:eastAsia="Times New Roman" w:cs="Times New Roman"/>
                <w:bCs/>
                <w:sz w:val="22"/>
                <w:lang w:val="en-GB"/>
              </w:rPr>
              <w:t xml:space="preserve">be used by the </w:t>
            </w:r>
            <w:r w:rsidR="007E490C" w:rsidRPr="002720C2">
              <w:rPr>
                <w:rFonts w:eastAsia="Times New Roman" w:cs="Times New Roman"/>
                <w:bCs/>
                <w:sz w:val="22"/>
                <w:lang w:val="en-GB"/>
              </w:rPr>
              <w:t>authorities</w:t>
            </w:r>
            <w:r w:rsidR="00A90B03" w:rsidRPr="002720C2">
              <w:rPr>
                <w:rFonts w:eastAsia="Times New Roman" w:cs="Times New Roman"/>
                <w:bCs/>
                <w:sz w:val="22"/>
                <w:lang w:val="en-GB"/>
              </w:rPr>
              <w:t xml:space="preserve"> administering the Fund aid</w:t>
            </w:r>
            <w:r w:rsidR="004F307C" w:rsidRPr="002720C2">
              <w:rPr>
                <w:rFonts w:eastAsia="Times New Roman" w:cs="Times New Roman"/>
                <w:bCs/>
                <w:sz w:val="22"/>
                <w:lang w:val="en-GB"/>
              </w:rPr>
              <w:t xml:space="preserve"> as well as by</w:t>
            </w:r>
            <w:r w:rsidR="00065549" w:rsidRPr="002720C2">
              <w:rPr>
                <w:rFonts w:eastAsia="Times New Roman" w:cs="Times New Roman"/>
                <w:bCs/>
                <w:sz w:val="22"/>
                <w:lang w:val="en-GB"/>
              </w:rPr>
              <w:t xml:space="preserve"> project </w:t>
            </w:r>
            <w:r w:rsidR="007C3C97">
              <w:rPr>
                <w:rFonts w:eastAsia="Times New Roman" w:cs="Times New Roman"/>
                <w:bCs/>
                <w:sz w:val="22"/>
                <w:lang w:val="en-GB"/>
              </w:rPr>
              <w:t>manager and partners submitting</w:t>
            </w:r>
            <w:r w:rsidR="004F307C" w:rsidRPr="002720C2">
              <w:rPr>
                <w:rFonts w:eastAsia="Times New Roman" w:cs="Times New Roman"/>
                <w:bCs/>
                <w:sz w:val="22"/>
                <w:lang w:val="en-GB"/>
              </w:rPr>
              <w:t xml:space="preserve"> </w:t>
            </w:r>
            <w:r w:rsidR="00065549" w:rsidRPr="002720C2">
              <w:rPr>
                <w:rFonts w:eastAsia="Times New Roman" w:cs="Times New Roman"/>
                <w:bCs/>
                <w:sz w:val="22"/>
                <w:lang w:val="en-GB"/>
              </w:rPr>
              <w:t xml:space="preserve">information on project implementation and </w:t>
            </w:r>
            <w:r w:rsidR="004F307C" w:rsidRPr="002720C2">
              <w:rPr>
                <w:rFonts w:eastAsia="Times New Roman" w:cs="Times New Roman"/>
                <w:bCs/>
                <w:sz w:val="22"/>
                <w:lang w:val="en-GB"/>
              </w:rPr>
              <w:t xml:space="preserve">its </w:t>
            </w:r>
            <w:r w:rsidR="00065549" w:rsidRPr="002720C2">
              <w:rPr>
                <w:rFonts w:eastAsia="Times New Roman" w:cs="Times New Roman"/>
                <w:bCs/>
                <w:sz w:val="22"/>
                <w:lang w:val="en-GB"/>
              </w:rPr>
              <w:t xml:space="preserve">results. </w:t>
            </w:r>
            <w:r w:rsidR="004F307C" w:rsidRPr="002720C2">
              <w:rPr>
                <w:rFonts w:eastAsia="Times New Roman" w:cs="Times New Roman"/>
                <w:bCs/>
                <w:sz w:val="22"/>
                <w:lang w:val="en-GB"/>
              </w:rPr>
              <w:t>Establishment of s</w:t>
            </w:r>
            <w:r w:rsidR="00065549" w:rsidRPr="002720C2">
              <w:rPr>
                <w:rFonts w:eastAsia="Times New Roman" w:cs="Times New Roman"/>
                <w:bCs/>
                <w:sz w:val="22"/>
                <w:lang w:val="en-GB"/>
              </w:rPr>
              <w:t>uch information system c</w:t>
            </w:r>
            <w:r w:rsidR="004F307C" w:rsidRPr="002720C2">
              <w:rPr>
                <w:rFonts w:eastAsia="Times New Roman" w:cs="Times New Roman"/>
                <w:bCs/>
                <w:sz w:val="22"/>
                <w:lang w:val="en-GB"/>
              </w:rPr>
              <w:t>ould</w:t>
            </w:r>
            <w:r w:rsidR="00065549" w:rsidRPr="002720C2">
              <w:rPr>
                <w:rFonts w:eastAsia="Times New Roman" w:cs="Times New Roman"/>
                <w:bCs/>
                <w:sz w:val="22"/>
                <w:lang w:val="en-GB"/>
              </w:rPr>
              <w:t xml:space="preserve"> be financed fro</w:t>
            </w:r>
            <w:r w:rsidR="007C3C97">
              <w:rPr>
                <w:rFonts w:eastAsia="Times New Roman" w:cs="Times New Roman"/>
                <w:bCs/>
                <w:sz w:val="22"/>
                <w:lang w:val="en-GB"/>
              </w:rPr>
              <w:t>m the technical assistance</w:t>
            </w:r>
            <w:r w:rsidR="00065549" w:rsidRPr="002720C2">
              <w:rPr>
                <w:rFonts w:eastAsia="Times New Roman" w:cs="Times New Roman"/>
                <w:bCs/>
                <w:sz w:val="22"/>
                <w:lang w:val="en-GB"/>
              </w:rPr>
              <w:t>.</w:t>
            </w:r>
          </w:p>
        </w:tc>
      </w:tr>
    </w:tbl>
    <w:p w:rsidR="00011C91" w:rsidRPr="002720C2" w:rsidRDefault="007C3C97" w:rsidP="00B52EB8">
      <w:pPr>
        <w:spacing w:before="100" w:beforeAutospacing="1" w:after="100" w:afterAutospacing="1"/>
        <w:ind w:left="357"/>
        <w:jc w:val="both"/>
        <w:rPr>
          <w:rFonts w:eastAsia="Times New Roman" w:cs="Times New Roman"/>
          <w:bCs/>
          <w:sz w:val="22"/>
          <w:lang w:val="en-GB"/>
        </w:rPr>
      </w:pPr>
      <w:r>
        <w:rPr>
          <w:rFonts w:eastAsia="Times New Roman" w:cs="Times New Roman"/>
          <w:bCs/>
          <w:sz w:val="22"/>
          <w:lang w:val="en-GB"/>
        </w:rPr>
        <w:t>The draft Operational P</w:t>
      </w:r>
      <w:r w:rsidR="00055064" w:rsidRPr="002720C2">
        <w:rPr>
          <w:rFonts w:eastAsia="Times New Roman" w:cs="Times New Roman"/>
          <w:bCs/>
          <w:sz w:val="22"/>
          <w:lang w:val="en-GB"/>
        </w:rPr>
        <w:t xml:space="preserve">rogramme provides that on-going evaluation of the OP implementation will </w:t>
      </w:r>
      <w:r w:rsidR="00055064" w:rsidRPr="002720C2">
        <w:rPr>
          <w:rFonts w:eastAsia="Times New Roman" w:cs="Times New Roman"/>
          <w:bCs/>
          <w:i/>
          <w:sz w:val="22"/>
          <w:lang w:val="en-GB"/>
        </w:rPr>
        <w:t>not</w:t>
      </w:r>
      <w:r w:rsidR="00055064" w:rsidRPr="002720C2">
        <w:rPr>
          <w:rFonts w:eastAsia="Times New Roman" w:cs="Times New Roman"/>
          <w:bCs/>
          <w:sz w:val="22"/>
          <w:lang w:val="en-GB"/>
        </w:rPr>
        <w:t xml:space="preserve"> be carried out, but in accordance with the provisions of the Regulation, in 2017 and 2022 the managing authority will have to conduct structured surveys of the final beneficiaries in the form approved by the EC. These surveys could provide additional information about the adequacy, efficiency and effectiveness of the implemented activities and their results and, in addition to data on monitoring, could be used to improve the implementation of the OP</w:t>
      </w:r>
      <w:r w:rsidR="00065549" w:rsidRPr="002720C2">
        <w:rPr>
          <w:rFonts w:eastAsia="Times New Roman" w:cs="Times New Roman"/>
          <w:bCs/>
          <w:sz w:val="22"/>
          <w:lang w:val="en-GB"/>
        </w:rPr>
        <w:t xml:space="preserve">.  </w:t>
      </w:r>
    </w:p>
    <w:tbl>
      <w:tblPr>
        <w:tblStyle w:val="VPVILentele1"/>
        <w:tblW w:w="0" w:type="auto"/>
        <w:tblInd w:w="534" w:type="dxa"/>
        <w:tblLook w:val="04A0" w:firstRow="1" w:lastRow="0" w:firstColumn="1" w:lastColumn="0" w:noHBand="0" w:noVBand="1"/>
      </w:tblPr>
      <w:tblGrid>
        <w:gridCol w:w="9639"/>
      </w:tblGrid>
      <w:tr w:rsidR="00276582" w:rsidRPr="002720C2" w:rsidTr="00FB7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tcPr>
          <w:p w:rsidR="00276582" w:rsidRPr="002720C2" w:rsidRDefault="007C1273" w:rsidP="00066652">
            <w:pPr>
              <w:jc w:val="both"/>
              <w:rPr>
                <w:lang w:val="en-GB"/>
              </w:rPr>
            </w:pPr>
            <w:r w:rsidRPr="002720C2">
              <w:rPr>
                <w:lang w:val="en-GB"/>
              </w:rPr>
              <w:t>Taken into account</w:t>
            </w:r>
          </w:p>
        </w:tc>
      </w:tr>
      <w:tr w:rsidR="00276582" w:rsidRPr="002720C2" w:rsidTr="00FB7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7733A8" w:rsidRPr="002720C2" w:rsidRDefault="002B2434" w:rsidP="00276582">
            <w:pPr>
              <w:jc w:val="both"/>
              <w:rPr>
                <w:rFonts w:eastAsia="Times New Roman" w:cs="Times New Roman"/>
                <w:bCs/>
                <w:sz w:val="22"/>
                <w:lang w:val="en-GB"/>
              </w:rPr>
            </w:pPr>
            <w:r>
              <w:rPr>
                <w:rFonts w:eastAsia="Times New Roman" w:cs="Times New Roman"/>
                <w:b/>
                <w:sz w:val="22"/>
                <w:lang w:val="en-GB"/>
              </w:rPr>
              <w:t>Recommendation 7</w:t>
            </w:r>
            <w:r w:rsidR="00065549" w:rsidRPr="002720C2">
              <w:rPr>
                <w:rFonts w:eastAsia="Times New Roman" w:cs="Times New Roman"/>
                <w:b/>
                <w:sz w:val="22"/>
                <w:lang w:val="en-GB"/>
              </w:rPr>
              <w:t xml:space="preserve">. </w:t>
            </w:r>
            <w:r w:rsidR="00055064" w:rsidRPr="002720C2">
              <w:rPr>
                <w:rFonts w:eastAsia="Times New Roman" w:cs="Times New Roman"/>
                <w:sz w:val="22"/>
                <w:lang w:val="en-GB"/>
              </w:rPr>
              <w:t>In the OP context, when</w:t>
            </w:r>
            <w:r w:rsidR="00055064" w:rsidRPr="002720C2">
              <w:rPr>
                <w:rFonts w:eastAsia="Times New Roman" w:cs="Times New Roman"/>
                <w:b/>
                <w:sz w:val="22"/>
                <w:lang w:val="en-GB"/>
              </w:rPr>
              <w:t xml:space="preserve"> </w:t>
            </w:r>
            <w:r w:rsidR="00055064" w:rsidRPr="002720C2">
              <w:rPr>
                <w:rFonts w:eastAsia="Times New Roman" w:cs="Times New Roman"/>
                <w:bCs/>
                <w:sz w:val="22"/>
                <w:lang w:val="en-GB"/>
              </w:rPr>
              <w:t>describing the programme monitoring and evaluatio</w:t>
            </w:r>
            <w:r w:rsidR="007C3C97">
              <w:rPr>
                <w:rFonts w:eastAsia="Times New Roman" w:cs="Times New Roman"/>
                <w:bCs/>
                <w:sz w:val="22"/>
                <w:lang w:val="en-GB"/>
              </w:rPr>
              <w:t>n system, to indicate that the Managing A</w:t>
            </w:r>
            <w:r w:rsidR="00055064" w:rsidRPr="002720C2">
              <w:rPr>
                <w:rFonts w:eastAsia="Times New Roman" w:cs="Times New Roman"/>
                <w:bCs/>
                <w:sz w:val="22"/>
                <w:lang w:val="en-GB"/>
              </w:rPr>
              <w:t>uthority will carry out surveys of final beneficiaries according to the template approved by the EC. The results of the surveys will be considered by the Monitoring Committee and used to increase implementation effectiveness</w:t>
            </w:r>
            <w:r w:rsidR="00065549" w:rsidRPr="002720C2">
              <w:rPr>
                <w:rFonts w:eastAsia="Times New Roman" w:cs="Times New Roman"/>
                <w:bCs/>
                <w:sz w:val="22"/>
                <w:lang w:val="en-GB"/>
              </w:rPr>
              <w:t>.</w:t>
            </w:r>
          </w:p>
        </w:tc>
      </w:tr>
    </w:tbl>
    <w:p w:rsidR="00AC36C4" w:rsidRPr="002720C2" w:rsidRDefault="00C842EA" w:rsidP="00B52EB8">
      <w:pPr>
        <w:spacing w:before="100" w:beforeAutospacing="1" w:after="100" w:afterAutospacing="1"/>
        <w:ind w:left="357"/>
        <w:jc w:val="both"/>
        <w:rPr>
          <w:rFonts w:eastAsia="Times New Roman" w:cs="Times New Roman"/>
          <w:bCs/>
          <w:sz w:val="22"/>
          <w:lang w:val="en-GB"/>
        </w:rPr>
      </w:pPr>
      <w:r w:rsidRPr="002720C2">
        <w:rPr>
          <w:rFonts w:eastAsia="Times New Roman" w:cs="Times New Roman"/>
          <w:bCs/>
          <w:sz w:val="22"/>
          <w:lang w:val="en-GB"/>
        </w:rPr>
        <w:t>Although the main authorities responsible for the implementation of the OP have considerable experience in administering other EU-funded m</w:t>
      </w:r>
      <w:r w:rsidR="008623F4">
        <w:rPr>
          <w:rFonts w:eastAsia="Times New Roman" w:cs="Times New Roman"/>
          <w:bCs/>
          <w:sz w:val="22"/>
          <w:lang w:val="en-GB"/>
        </w:rPr>
        <w:t>easures, implementation of the Operational P</w:t>
      </w:r>
      <w:r w:rsidRPr="002720C2">
        <w:rPr>
          <w:rFonts w:eastAsia="Times New Roman" w:cs="Times New Roman"/>
          <w:bCs/>
          <w:sz w:val="22"/>
          <w:lang w:val="en-GB"/>
        </w:rPr>
        <w:t xml:space="preserve">rogramme of the </w:t>
      </w:r>
      <w:r w:rsidRPr="002720C2">
        <w:rPr>
          <w:sz w:val="22"/>
          <w:lang w:val="en-GB"/>
        </w:rPr>
        <w:t>Fund for European Aid to the Most Deprived</w:t>
      </w:r>
      <w:r w:rsidRPr="002720C2">
        <w:rPr>
          <w:rFonts w:eastAsia="Times New Roman" w:cs="Times New Roman"/>
          <w:bCs/>
          <w:sz w:val="22"/>
          <w:lang w:val="en-GB"/>
        </w:rPr>
        <w:t xml:space="preserve"> will require additional human resources to carry</w:t>
      </w:r>
      <w:r w:rsidR="007C3C97">
        <w:rPr>
          <w:rFonts w:eastAsia="Times New Roman" w:cs="Times New Roman"/>
          <w:bCs/>
          <w:sz w:val="22"/>
          <w:lang w:val="en-GB"/>
        </w:rPr>
        <w:t xml:space="preserve"> out activities directly linked</w:t>
      </w:r>
      <w:r w:rsidRPr="002720C2">
        <w:rPr>
          <w:rFonts w:eastAsia="Times New Roman" w:cs="Times New Roman"/>
          <w:bCs/>
          <w:sz w:val="22"/>
          <w:lang w:val="en-GB"/>
        </w:rPr>
        <w:t xml:space="preserve"> to implementation of the OP. The project </w:t>
      </w:r>
      <w:r w:rsidR="00AB2950">
        <w:rPr>
          <w:rFonts w:eastAsia="Times New Roman" w:cs="Times New Roman"/>
          <w:bCs/>
          <w:sz w:val="22"/>
          <w:lang w:val="en-GB"/>
        </w:rPr>
        <w:t>manager</w:t>
      </w:r>
      <w:r w:rsidRPr="002720C2">
        <w:rPr>
          <w:rFonts w:eastAsia="Times New Roman" w:cs="Times New Roman"/>
          <w:bCs/>
          <w:sz w:val="22"/>
          <w:lang w:val="en-GB"/>
        </w:rPr>
        <w:t xml:space="preserve"> and partner organisations, therefore, may lack both the administrative capacity and human resources to administer and carry out the Fund’s activities. For some municipal governments implementation of the Fund-supported activities is a completely new function previously implemented by the non-governmental organisation Caritas Lithuania, which is not currently engaged in providing food aid to the most deprived persons</w:t>
      </w:r>
      <w:r w:rsidRPr="002720C2">
        <w:rPr>
          <w:rStyle w:val="FootnoteReference"/>
          <w:rFonts w:cs="Arial"/>
          <w:sz w:val="22"/>
          <w:lang w:val="en-GB"/>
        </w:rPr>
        <w:footnoteReference w:id="24"/>
      </w:r>
      <w:r w:rsidRPr="002720C2">
        <w:rPr>
          <w:rFonts w:cs="Arial"/>
          <w:sz w:val="22"/>
          <w:lang w:val="en-GB"/>
        </w:rPr>
        <w:t>.</w:t>
      </w:r>
      <w:r w:rsidRPr="002720C2">
        <w:rPr>
          <w:rFonts w:eastAsia="Times New Roman" w:cs="Times New Roman"/>
          <w:bCs/>
          <w:sz w:val="22"/>
          <w:lang w:val="en-GB"/>
        </w:rPr>
        <w:t xml:space="preserve"> Thus, municipal governments face problems related to both the unforeseen expenses of the </w:t>
      </w:r>
      <w:r w:rsidR="00AB2950" w:rsidRPr="002720C2">
        <w:rPr>
          <w:rFonts w:eastAsia="Times New Roman" w:cs="Times New Roman"/>
          <w:bCs/>
          <w:sz w:val="22"/>
          <w:lang w:val="en-GB"/>
        </w:rPr>
        <w:t xml:space="preserve">administration of the </w:t>
      </w:r>
      <w:r w:rsidRPr="002720C2">
        <w:rPr>
          <w:rFonts w:eastAsia="Times New Roman" w:cs="Times New Roman"/>
          <w:bCs/>
          <w:sz w:val="22"/>
          <w:lang w:val="en-GB"/>
        </w:rPr>
        <w:t>Fund-supported activities</w:t>
      </w:r>
      <w:r w:rsidRPr="002720C2">
        <w:rPr>
          <w:rStyle w:val="FootnoteReference"/>
          <w:rFonts w:cs="Arial"/>
          <w:sz w:val="22"/>
          <w:lang w:val="en-GB"/>
        </w:rPr>
        <w:footnoteReference w:id="25"/>
      </w:r>
      <w:r w:rsidRPr="002720C2">
        <w:rPr>
          <w:rFonts w:eastAsia="Times New Roman" w:cs="Times New Roman"/>
          <w:bCs/>
          <w:sz w:val="22"/>
          <w:lang w:val="en-GB"/>
        </w:rPr>
        <w:t xml:space="preserve"> and the lack of human resources required to administer support. Having regard to the existing administrative capacity gaps, the eligible expenses </w:t>
      </w:r>
      <w:r w:rsidRPr="002720C2">
        <w:rPr>
          <w:rFonts w:eastAsia="Times New Roman" w:cs="Times New Roman"/>
          <w:bCs/>
          <w:sz w:val="22"/>
          <w:lang w:val="en-GB"/>
        </w:rPr>
        <w:lastRenderedPageBreak/>
        <w:t xml:space="preserve">planned to be covered from the technical assistance funds in the draft OP and intended for salaries, employee skill training, and strengthening of partner organisations are in line with the needs for </w:t>
      </w:r>
      <w:r w:rsidR="00AB2950" w:rsidRPr="002720C2">
        <w:rPr>
          <w:rFonts w:eastAsia="Times New Roman" w:cs="Times New Roman"/>
          <w:bCs/>
          <w:sz w:val="22"/>
          <w:lang w:val="en-GB"/>
        </w:rPr>
        <w:t xml:space="preserve">capacity building </w:t>
      </w:r>
      <w:r w:rsidR="00AB2950">
        <w:rPr>
          <w:rFonts w:eastAsia="Times New Roman" w:cs="Times New Roman"/>
          <w:bCs/>
          <w:sz w:val="22"/>
          <w:lang w:val="en-GB"/>
        </w:rPr>
        <w:t xml:space="preserve">of </w:t>
      </w:r>
      <w:r w:rsidRPr="002720C2">
        <w:rPr>
          <w:rFonts w:eastAsia="Times New Roman" w:cs="Times New Roman"/>
          <w:bCs/>
          <w:sz w:val="22"/>
          <w:lang w:val="en-GB"/>
        </w:rPr>
        <w:t xml:space="preserve">administrative and human resource and create </w:t>
      </w:r>
      <w:r w:rsidR="00AB2950">
        <w:rPr>
          <w:rFonts w:eastAsia="Times New Roman" w:cs="Times New Roman"/>
          <w:bCs/>
          <w:sz w:val="22"/>
          <w:lang w:val="en-GB"/>
        </w:rPr>
        <w:t>conditions</w:t>
      </w:r>
      <w:r w:rsidRPr="002720C2">
        <w:rPr>
          <w:rFonts w:eastAsia="Times New Roman" w:cs="Times New Roman"/>
          <w:bCs/>
          <w:sz w:val="22"/>
          <w:lang w:val="en-GB"/>
        </w:rPr>
        <w:t xml:space="preserve"> for e</w:t>
      </w:r>
      <w:r w:rsidR="00AB2950">
        <w:rPr>
          <w:rFonts w:eastAsia="Times New Roman" w:cs="Times New Roman"/>
          <w:bCs/>
          <w:sz w:val="22"/>
          <w:lang w:val="en-GB"/>
        </w:rPr>
        <w:t>ffective implementation of the Operational P</w:t>
      </w:r>
      <w:r w:rsidRPr="002720C2">
        <w:rPr>
          <w:rFonts w:eastAsia="Times New Roman" w:cs="Times New Roman"/>
          <w:bCs/>
          <w:sz w:val="22"/>
          <w:lang w:val="en-GB"/>
        </w:rPr>
        <w:t>rogramme</w:t>
      </w:r>
      <w:r w:rsidR="00065549" w:rsidRPr="002720C2">
        <w:rPr>
          <w:rFonts w:eastAsia="Times New Roman" w:cs="Times New Roman"/>
          <w:bCs/>
          <w:sz w:val="22"/>
          <w:lang w:val="en-GB"/>
        </w:rPr>
        <w:t xml:space="preserve">. </w:t>
      </w:r>
    </w:p>
    <w:p w:rsidR="00A52582" w:rsidRPr="002720C2" w:rsidRDefault="00135348" w:rsidP="006918A9">
      <w:pPr>
        <w:spacing w:before="100" w:beforeAutospacing="1" w:after="100" w:afterAutospacing="1"/>
        <w:ind w:left="709" w:hanging="425"/>
        <w:rPr>
          <w:rFonts w:eastAsia="Times New Roman" w:cs="Times New Roman"/>
          <w:bCs/>
          <w:sz w:val="22"/>
          <w:lang w:val="en-GB"/>
        </w:rPr>
      </w:pPr>
      <w:r w:rsidRPr="002720C2">
        <w:rPr>
          <w:rFonts w:eastAsia="Times New Roman" w:cs="Times New Roman"/>
          <w:bCs/>
          <w:color w:val="036474"/>
          <w:szCs w:val="24"/>
          <w:lang w:val="en-GB"/>
        </w:rPr>
        <w:t xml:space="preserve">7. </w:t>
      </w:r>
      <w:r w:rsidR="009C02E7" w:rsidRPr="002720C2">
        <w:rPr>
          <w:rFonts w:eastAsia="Times New Roman" w:cs="Times New Roman"/>
          <w:bCs/>
          <w:color w:val="036474"/>
          <w:szCs w:val="24"/>
          <w:lang w:val="en-GB"/>
        </w:rPr>
        <w:t xml:space="preserve">  </w:t>
      </w:r>
      <w:r w:rsidRPr="002720C2">
        <w:rPr>
          <w:rFonts w:eastAsia="Times New Roman" w:cs="Times New Roman"/>
          <w:bCs/>
          <w:color w:val="036474"/>
          <w:szCs w:val="24"/>
          <w:lang w:val="en-GB"/>
        </w:rPr>
        <w:t xml:space="preserve"> </w:t>
      </w:r>
      <w:r w:rsidR="005434C8" w:rsidRPr="002720C2">
        <w:rPr>
          <w:rFonts w:asciiTheme="majorHAnsi" w:eastAsia="Times New Roman" w:hAnsiTheme="majorHAnsi"/>
          <w:bCs/>
          <w:color w:val="036575"/>
          <w:sz w:val="22"/>
          <w:lang w:val="en-GB"/>
        </w:rPr>
        <w:t>What is the administrative burden for applicants submitting an application for assistance? How can the administrative burden for applicants and beneficiaries be reduced in the future (if necessary)</w:t>
      </w:r>
      <w:r w:rsidRPr="002720C2">
        <w:rPr>
          <w:rFonts w:eastAsia="Times New Roman" w:cs="Times New Roman"/>
          <w:bCs/>
          <w:color w:val="036575"/>
          <w:sz w:val="22"/>
          <w:lang w:val="en-GB"/>
        </w:rPr>
        <w:t xml:space="preserve">?  </w:t>
      </w:r>
    </w:p>
    <w:p w:rsidR="00940193" w:rsidRPr="002720C2" w:rsidRDefault="00456EE3" w:rsidP="002B61F5">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 xml:space="preserve">It is planned that during the implementation of activities supported </w:t>
      </w:r>
      <w:r w:rsidR="00AB2950">
        <w:rPr>
          <w:rFonts w:eastAsia="Times New Roman" w:cs="Times New Roman"/>
          <w:bCs/>
          <w:sz w:val="22"/>
          <w:lang w:val="en-GB"/>
        </w:rPr>
        <w:t>under OP</w:t>
      </w:r>
      <w:r w:rsidRPr="002720C2">
        <w:rPr>
          <w:rFonts w:eastAsia="Times New Roman" w:cs="Times New Roman"/>
          <w:bCs/>
          <w:sz w:val="22"/>
          <w:lang w:val="en-GB"/>
        </w:rPr>
        <w:t xml:space="preserve">, products and goods will be centrally procured by a public </w:t>
      </w:r>
      <w:r w:rsidR="001A7A6C">
        <w:rPr>
          <w:rFonts w:eastAsia="Times New Roman" w:cs="Times New Roman"/>
          <w:bCs/>
          <w:sz w:val="22"/>
          <w:lang w:val="en-GB"/>
        </w:rPr>
        <w:t>sector institution</w:t>
      </w:r>
      <w:r w:rsidRPr="002720C2">
        <w:rPr>
          <w:rFonts w:eastAsia="Times New Roman" w:cs="Times New Roman"/>
          <w:bCs/>
          <w:sz w:val="22"/>
          <w:lang w:val="en-GB"/>
        </w:rPr>
        <w:t xml:space="preserve">, which will subsequently distribute these products and goods to partner organisations. Such a centralised organisation of the implementation of </w:t>
      </w:r>
      <w:r w:rsidR="00AB2950">
        <w:rPr>
          <w:rFonts w:eastAsia="Times New Roman" w:cs="Times New Roman"/>
          <w:bCs/>
          <w:sz w:val="22"/>
          <w:lang w:val="en-GB"/>
        </w:rPr>
        <w:t xml:space="preserve">the </w:t>
      </w:r>
      <w:r w:rsidRPr="002720C2">
        <w:rPr>
          <w:rFonts w:eastAsia="Times New Roman" w:cs="Times New Roman"/>
          <w:bCs/>
          <w:sz w:val="22"/>
          <w:lang w:val="en-GB"/>
        </w:rPr>
        <w:t>OP activities ensures that the partner organisations do not incur additional administrative burden, which would be inevitable if each of them implemented the project independently, i.e. prepare and submit an application, perform public procurement</w:t>
      </w:r>
      <w:r w:rsidR="00AB2950">
        <w:rPr>
          <w:rFonts w:eastAsia="Times New Roman" w:cs="Times New Roman"/>
          <w:bCs/>
          <w:sz w:val="22"/>
          <w:lang w:val="en-GB"/>
        </w:rPr>
        <w:t>s</w:t>
      </w:r>
      <w:r w:rsidRPr="002720C2">
        <w:rPr>
          <w:rFonts w:eastAsia="Times New Roman" w:cs="Times New Roman"/>
          <w:bCs/>
          <w:sz w:val="22"/>
          <w:lang w:val="en-GB"/>
        </w:rPr>
        <w:t xml:space="preserve"> and implement activities</w:t>
      </w:r>
      <w:r w:rsidRPr="002720C2">
        <w:rPr>
          <w:rStyle w:val="FootnoteReference"/>
          <w:sz w:val="22"/>
          <w:lang w:val="en-GB"/>
        </w:rPr>
        <w:footnoteReference w:id="26"/>
      </w:r>
      <w:r w:rsidRPr="002720C2">
        <w:rPr>
          <w:rFonts w:eastAsia="Times New Roman" w:cs="Times New Roman"/>
          <w:bCs/>
          <w:sz w:val="22"/>
          <w:lang w:val="en-GB"/>
        </w:rPr>
        <w:t>. Therefore, the current mechanism for the implementation of Fund-supported activities of the draft OP is effective and does not create unnecessary administrative burdens</w:t>
      </w:r>
      <w:r w:rsidR="00135348" w:rsidRPr="002720C2">
        <w:rPr>
          <w:rFonts w:eastAsia="Times New Roman" w:cs="Times New Roman"/>
          <w:bCs/>
          <w:sz w:val="22"/>
          <w:lang w:val="en-GB"/>
        </w:rPr>
        <w:t xml:space="preserve">.  </w:t>
      </w:r>
    </w:p>
    <w:p w:rsidR="00456EE3" w:rsidRPr="002720C2" w:rsidRDefault="00456EE3" w:rsidP="00456EE3">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 xml:space="preserve">On the other hand, the public </w:t>
      </w:r>
      <w:r w:rsidR="001A7A6C">
        <w:rPr>
          <w:rFonts w:eastAsia="Times New Roman" w:cs="Times New Roman"/>
          <w:bCs/>
          <w:sz w:val="22"/>
          <w:lang w:val="en-GB"/>
        </w:rPr>
        <w:t xml:space="preserve">sector institution </w:t>
      </w:r>
      <w:r w:rsidRPr="002720C2">
        <w:rPr>
          <w:rFonts w:eastAsia="Times New Roman" w:cs="Times New Roman"/>
          <w:bCs/>
          <w:sz w:val="22"/>
          <w:lang w:val="en-GB"/>
        </w:rPr>
        <w:t xml:space="preserve">as a project </w:t>
      </w:r>
      <w:r w:rsidR="00AB2950">
        <w:rPr>
          <w:rFonts w:eastAsia="Times New Roman" w:cs="Times New Roman"/>
          <w:bCs/>
          <w:sz w:val="22"/>
          <w:lang w:val="en-GB"/>
        </w:rPr>
        <w:t>manager</w:t>
      </w:r>
      <w:r w:rsidRPr="002720C2">
        <w:rPr>
          <w:rFonts w:eastAsia="Times New Roman" w:cs="Times New Roman"/>
          <w:bCs/>
          <w:sz w:val="22"/>
          <w:lang w:val="en-GB"/>
        </w:rPr>
        <w:t xml:space="preserve"> incurs project administration costs which are not covered by the flat-rate financing allocated to the purchase of products and goods aimed for support and their transportation to the warehouses of partner organisations. In this way, the project </w:t>
      </w:r>
      <w:r w:rsidR="00AB2950">
        <w:rPr>
          <w:rFonts w:eastAsia="Times New Roman" w:cs="Times New Roman"/>
          <w:bCs/>
          <w:sz w:val="22"/>
          <w:lang w:val="en-GB"/>
        </w:rPr>
        <w:t>manager</w:t>
      </w:r>
      <w:r w:rsidRPr="002720C2">
        <w:rPr>
          <w:rFonts w:eastAsia="Times New Roman" w:cs="Times New Roman"/>
          <w:bCs/>
          <w:sz w:val="22"/>
          <w:lang w:val="en-GB"/>
        </w:rPr>
        <w:t xml:space="preserve"> faces the problem of reimbursement of human resource costs</w:t>
      </w:r>
      <w:r w:rsidRPr="002720C2">
        <w:rPr>
          <w:rStyle w:val="FootnoteReference"/>
          <w:sz w:val="22"/>
          <w:lang w:val="en-GB"/>
        </w:rPr>
        <w:footnoteReference w:id="27"/>
      </w:r>
      <w:r w:rsidRPr="002720C2">
        <w:rPr>
          <w:rFonts w:eastAsia="Times New Roman" w:cs="Times New Roman"/>
          <w:bCs/>
          <w:sz w:val="22"/>
          <w:lang w:val="en-GB"/>
        </w:rPr>
        <w:t xml:space="preserve">. Therefore, consideration must be given to financing the project </w:t>
      </w:r>
      <w:r w:rsidR="00AB2950">
        <w:rPr>
          <w:rFonts w:eastAsia="Times New Roman" w:cs="Times New Roman"/>
          <w:bCs/>
          <w:sz w:val="22"/>
          <w:lang w:val="en-GB"/>
        </w:rPr>
        <w:t>manager’s</w:t>
      </w:r>
      <w:r w:rsidRPr="002720C2">
        <w:rPr>
          <w:rFonts w:eastAsia="Times New Roman" w:cs="Times New Roman"/>
          <w:bCs/>
          <w:sz w:val="22"/>
          <w:lang w:val="en-GB"/>
        </w:rPr>
        <w:t xml:space="preserve"> human resource costs related to the administration of OP activities by using technical assistance funds or by providing funding from the national budget. </w:t>
      </w:r>
    </w:p>
    <w:p w:rsidR="00135348" w:rsidRPr="002720C2" w:rsidRDefault="00456EE3" w:rsidP="00456EE3">
      <w:pPr>
        <w:spacing w:before="100" w:beforeAutospacing="1" w:after="100" w:afterAutospacing="1"/>
        <w:ind w:left="360"/>
        <w:jc w:val="both"/>
        <w:rPr>
          <w:rFonts w:eastAsia="Times New Roman" w:cs="Times New Roman"/>
          <w:bCs/>
          <w:sz w:val="22"/>
          <w:lang w:val="en-GB"/>
        </w:rPr>
      </w:pPr>
      <w:r w:rsidRPr="002720C2">
        <w:rPr>
          <w:rFonts w:eastAsia="Times New Roman" w:cs="Times New Roman"/>
          <w:bCs/>
          <w:sz w:val="22"/>
          <w:lang w:val="en-GB"/>
        </w:rPr>
        <w:t>Taking into account the EC proposals regarding the common product indicators, the administrative burden for applicants and beneficiaries may increase in the future, because collection of additional data about partner organisations, final beneficiaries and the goods and products purchased and distributed using the Fund’s finances will require greater costs for administration of the Fund activities as well as time costs. The administrative burden could be partially r</w:t>
      </w:r>
      <w:r w:rsidR="00AB2950">
        <w:rPr>
          <w:rFonts w:eastAsia="Times New Roman" w:cs="Times New Roman"/>
          <w:bCs/>
          <w:sz w:val="22"/>
          <w:lang w:val="en-GB"/>
        </w:rPr>
        <w:t>educed by the introduction of a computerised</w:t>
      </w:r>
      <w:r w:rsidRPr="002720C2">
        <w:rPr>
          <w:rFonts w:eastAsia="Times New Roman" w:cs="Times New Roman"/>
          <w:bCs/>
          <w:sz w:val="22"/>
          <w:lang w:val="en-GB"/>
        </w:rPr>
        <w:t xml:space="preserve"> information system specifically intended for the Fund’s activities. This would facilitate the exchange of information and collection and storage of the data on monitoring</w:t>
      </w:r>
      <w:r w:rsidR="00135348" w:rsidRPr="002720C2">
        <w:rPr>
          <w:rFonts w:eastAsia="Times New Roman" w:cs="Times New Roman"/>
          <w:bCs/>
          <w:sz w:val="22"/>
          <w:lang w:val="en-GB"/>
        </w:rPr>
        <w:t xml:space="preserve">. </w:t>
      </w:r>
    </w:p>
    <w:p w:rsidR="00A52582" w:rsidRPr="002720C2" w:rsidRDefault="00880964" w:rsidP="00FB736A">
      <w:pPr>
        <w:pStyle w:val="Heading2"/>
        <w:numPr>
          <w:ilvl w:val="0"/>
          <w:numId w:val="6"/>
        </w:numPr>
        <w:spacing w:after="120"/>
        <w:rPr>
          <w:rStyle w:val="Heading1Char"/>
          <w:lang w:val="en-GB"/>
        </w:rPr>
      </w:pPr>
      <w:bookmarkStart w:id="5" w:name="_Toc396222429"/>
      <w:r w:rsidRPr="002720C2">
        <w:rPr>
          <w:rFonts w:eastAsia="Times New Roman" w:cs="Times New Roman"/>
          <w:color w:val="175F6E"/>
          <w:lang w:val="en-GB"/>
        </w:rPr>
        <w:lastRenderedPageBreak/>
        <w:t>IMPLEMENTATION OF THE PARTNERSHIP PRINCIPLE</w:t>
      </w:r>
      <w:bookmarkEnd w:id="5"/>
      <w:r w:rsidRPr="002720C2">
        <w:rPr>
          <w:rFonts w:eastAsia="Times New Roman" w:cs="Times New Roman"/>
          <w:color w:val="175F6E"/>
          <w:lang w:val="en-GB"/>
        </w:rPr>
        <w:t xml:space="preserve"> </w:t>
      </w:r>
    </w:p>
    <w:p w:rsidR="00A52582" w:rsidRPr="002720C2" w:rsidRDefault="009C02E7" w:rsidP="00BF0694">
      <w:pPr>
        <w:spacing w:before="100" w:beforeAutospacing="1" w:after="120" w:line="240" w:lineRule="auto"/>
        <w:ind w:left="851" w:hanging="567"/>
        <w:jc w:val="both"/>
        <w:rPr>
          <w:rFonts w:eastAsia="Times New Roman" w:cs="Times New Roman"/>
          <w:bCs/>
          <w:sz w:val="22"/>
          <w:lang w:val="en-GB"/>
        </w:rPr>
      </w:pPr>
      <w:r w:rsidRPr="002720C2">
        <w:rPr>
          <w:rFonts w:eastAsia="Times New Roman" w:cs="Times New Roman"/>
          <w:color w:val="036474"/>
          <w:sz w:val="22"/>
          <w:lang w:val="en-GB"/>
        </w:rPr>
        <w:t>8</w:t>
      </w:r>
      <w:r w:rsidR="00AC54B3" w:rsidRPr="002720C2">
        <w:rPr>
          <w:rFonts w:eastAsia="Times New Roman" w:cs="Times New Roman"/>
          <w:color w:val="036474"/>
          <w:sz w:val="22"/>
          <w:lang w:val="en-GB"/>
        </w:rPr>
        <w:t xml:space="preserve">.     </w:t>
      </w:r>
      <w:r w:rsidR="00AC54B3" w:rsidRPr="002720C2">
        <w:rPr>
          <w:rFonts w:eastAsia="Times New Roman" w:cs="Times New Roman"/>
          <w:color w:val="036474"/>
          <w:szCs w:val="24"/>
          <w:lang w:val="en-GB"/>
        </w:rPr>
        <w:t xml:space="preserve"> </w:t>
      </w:r>
      <w:r w:rsidR="00880964" w:rsidRPr="002720C2">
        <w:rPr>
          <w:rFonts w:asciiTheme="majorHAnsi" w:eastAsia="Times New Roman" w:hAnsiTheme="majorHAnsi" w:cs="Times New Roman"/>
          <w:bCs/>
          <w:color w:val="036575"/>
          <w:szCs w:val="24"/>
          <w:lang w:val="en-GB"/>
        </w:rPr>
        <w:t xml:space="preserve">Was the application of </w:t>
      </w:r>
      <w:r w:rsidR="00880964" w:rsidRPr="002720C2">
        <w:rPr>
          <w:rFonts w:asciiTheme="majorHAnsi" w:eastAsia="Times New Roman" w:hAnsiTheme="majorHAnsi" w:cs="Times New Roman"/>
          <w:bCs/>
          <w:color w:val="175F6E"/>
          <w:szCs w:val="24"/>
          <w:lang w:val="en-GB"/>
        </w:rPr>
        <w:t>the</w:t>
      </w:r>
      <w:r w:rsidR="00880964" w:rsidRPr="002720C2">
        <w:rPr>
          <w:rFonts w:asciiTheme="majorHAnsi" w:eastAsia="Times New Roman" w:hAnsiTheme="majorHAnsi" w:cs="Times New Roman"/>
          <w:bCs/>
          <w:color w:val="036575"/>
          <w:szCs w:val="24"/>
          <w:lang w:val="en-GB"/>
        </w:rPr>
        <w:t xml:space="preserve"> partnership principle ensured during the preparation of the draft </w:t>
      </w:r>
      <w:r w:rsidR="00880964" w:rsidRPr="002720C2">
        <w:rPr>
          <w:rFonts w:asciiTheme="majorHAnsi" w:eastAsia="Times New Roman" w:hAnsiTheme="majorHAnsi"/>
          <w:bCs/>
          <w:color w:val="036575"/>
          <w:szCs w:val="24"/>
          <w:lang w:val="en-GB"/>
        </w:rPr>
        <w:t>operational programme</w:t>
      </w:r>
      <w:r w:rsidR="00880964" w:rsidRPr="002720C2">
        <w:rPr>
          <w:rFonts w:asciiTheme="majorHAnsi" w:eastAsia="Times New Roman" w:hAnsiTheme="majorHAnsi" w:cs="Times New Roman"/>
          <w:bCs/>
          <w:color w:val="036575"/>
          <w:szCs w:val="24"/>
          <w:lang w:val="en-GB"/>
        </w:rPr>
        <w:t xml:space="preserve">? Is the inclusion of socio-economic partners in the preparation of the </w:t>
      </w:r>
      <w:r w:rsidR="00880964" w:rsidRPr="002720C2">
        <w:rPr>
          <w:rFonts w:asciiTheme="majorHAnsi" w:eastAsia="Times New Roman" w:hAnsiTheme="majorHAnsi"/>
          <w:bCs/>
          <w:color w:val="036575"/>
          <w:szCs w:val="24"/>
          <w:lang w:val="en-GB"/>
        </w:rPr>
        <w:t>operational programme</w:t>
      </w:r>
      <w:r w:rsidR="00880964" w:rsidRPr="002720C2">
        <w:rPr>
          <w:rFonts w:asciiTheme="majorHAnsi" w:eastAsia="Times New Roman" w:hAnsiTheme="majorHAnsi" w:cs="Times New Roman"/>
          <w:bCs/>
          <w:color w:val="036575"/>
          <w:szCs w:val="24"/>
          <w:lang w:val="en-GB"/>
        </w:rPr>
        <w:t xml:space="preserve"> sufficient</w:t>
      </w:r>
      <w:r w:rsidR="00AC54B3" w:rsidRPr="002720C2">
        <w:rPr>
          <w:rFonts w:eastAsia="Times New Roman" w:cs="Times New Roman"/>
          <w:color w:val="036575"/>
          <w:szCs w:val="24"/>
          <w:lang w:val="en-GB"/>
        </w:rPr>
        <w:t xml:space="preserve">? </w:t>
      </w:r>
    </w:p>
    <w:p w:rsidR="00903973" w:rsidRPr="002720C2" w:rsidRDefault="00903973" w:rsidP="00903973">
      <w:pPr>
        <w:spacing w:before="100" w:beforeAutospacing="1" w:after="100" w:afterAutospacing="1"/>
        <w:ind w:left="360"/>
        <w:jc w:val="both"/>
        <w:rPr>
          <w:rFonts w:eastAsia="Times New Roman" w:cs="Times New Roman"/>
          <w:sz w:val="22"/>
          <w:lang w:val="en-GB"/>
        </w:rPr>
      </w:pPr>
      <w:r w:rsidRPr="002720C2">
        <w:rPr>
          <w:rFonts w:eastAsia="Times New Roman" w:cs="Times New Roman"/>
          <w:sz w:val="22"/>
          <w:lang w:val="en-GB"/>
        </w:rPr>
        <w:t xml:space="preserve">During the preparation of the draft </w:t>
      </w:r>
      <w:r w:rsidR="008623F4">
        <w:rPr>
          <w:rFonts w:eastAsia="Times New Roman" w:cs="Times New Roman"/>
          <w:sz w:val="22"/>
          <w:lang w:val="en-GB"/>
        </w:rPr>
        <w:t>Operational P</w:t>
      </w:r>
      <w:r w:rsidRPr="002720C2">
        <w:rPr>
          <w:rFonts w:eastAsia="Times New Roman" w:cs="Times New Roman"/>
          <w:sz w:val="22"/>
          <w:lang w:val="en-GB"/>
        </w:rPr>
        <w:t xml:space="preserve">rogramme of the </w:t>
      </w:r>
      <w:r w:rsidRPr="002720C2">
        <w:rPr>
          <w:sz w:val="22"/>
          <w:lang w:val="en-GB"/>
        </w:rPr>
        <w:t>Fund for European Aid to the Most Deprived</w:t>
      </w:r>
      <w:r w:rsidRPr="002720C2">
        <w:rPr>
          <w:rFonts w:asciiTheme="minorHAnsi" w:eastAsia="Times New Roman" w:hAnsiTheme="minorHAnsi" w:cs="Times New Roman"/>
          <w:sz w:val="22"/>
          <w:lang w:val="en-GB"/>
        </w:rPr>
        <w:t xml:space="preserve">, the </w:t>
      </w:r>
      <w:r w:rsidRPr="002720C2">
        <w:rPr>
          <w:rFonts w:eastAsia="Times New Roman" w:cs="Times New Roman"/>
          <w:sz w:val="22"/>
          <w:lang w:val="en-GB"/>
        </w:rPr>
        <w:t xml:space="preserve">Ministry of Social Security and Labour, responsible for its preparation, took measures to ensure participation of all stakeholders in the planning of interventions supported by the Fund. During the </w:t>
      </w:r>
      <w:proofErr w:type="spellStart"/>
      <w:r w:rsidR="007E0B22">
        <w:rPr>
          <w:rFonts w:eastAsia="Times New Roman" w:cs="Times New Roman"/>
          <w:sz w:val="22"/>
          <w:lang w:val="en-GB"/>
        </w:rPr>
        <w:t xml:space="preserve">ex </w:t>
      </w:r>
      <w:r w:rsidR="00AB2950">
        <w:rPr>
          <w:rFonts w:eastAsia="Times New Roman" w:cs="Times New Roman"/>
          <w:sz w:val="22"/>
          <w:lang w:val="en-GB"/>
        </w:rPr>
        <w:t>ante</w:t>
      </w:r>
      <w:proofErr w:type="spellEnd"/>
      <w:r w:rsidRPr="002720C2">
        <w:rPr>
          <w:rFonts w:eastAsia="Times New Roman" w:cs="Times New Roman"/>
          <w:sz w:val="22"/>
          <w:lang w:val="en-GB"/>
        </w:rPr>
        <w:t xml:space="preserve"> evaluation, the implementation of the partnership principle was analysed according to the following three aspects: </w:t>
      </w:r>
    </w:p>
    <w:p w:rsidR="00903973" w:rsidRPr="002720C2" w:rsidRDefault="00903973" w:rsidP="00903973">
      <w:pPr>
        <w:numPr>
          <w:ilvl w:val="0"/>
          <w:numId w:val="15"/>
        </w:numPr>
        <w:spacing w:before="100" w:beforeAutospacing="1" w:after="100" w:afterAutospacing="1"/>
        <w:jc w:val="both"/>
        <w:rPr>
          <w:rFonts w:eastAsia="Times New Roman" w:cs="Times New Roman"/>
          <w:bCs/>
          <w:sz w:val="22"/>
          <w:lang w:val="en-GB"/>
        </w:rPr>
      </w:pPr>
      <w:r w:rsidRPr="002720C2">
        <w:rPr>
          <w:rStyle w:val="hps"/>
          <w:sz w:val="22"/>
          <w:lang w:val="en-GB"/>
        </w:rPr>
        <w:t>Representativeness: were all the relevant</w:t>
      </w:r>
      <w:r w:rsidRPr="002720C2">
        <w:rPr>
          <w:sz w:val="22"/>
          <w:lang w:val="en-GB"/>
        </w:rPr>
        <w:t xml:space="preserve"> </w:t>
      </w:r>
      <w:r w:rsidRPr="002720C2">
        <w:rPr>
          <w:rStyle w:val="hps"/>
          <w:sz w:val="22"/>
          <w:lang w:val="en-GB"/>
        </w:rPr>
        <w:t>partners involved in the partnership</w:t>
      </w:r>
      <w:r w:rsidRPr="002720C2">
        <w:rPr>
          <w:sz w:val="22"/>
          <w:lang w:val="en-GB"/>
        </w:rPr>
        <w:t xml:space="preserve"> </w:t>
      </w:r>
      <w:r w:rsidRPr="002720C2">
        <w:rPr>
          <w:rStyle w:val="hps"/>
          <w:sz w:val="22"/>
          <w:lang w:val="en-GB"/>
        </w:rPr>
        <w:t>process</w:t>
      </w:r>
      <w:r w:rsidRPr="002720C2">
        <w:rPr>
          <w:sz w:val="22"/>
          <w:lang w:val="en-GB"/>
        </w:rPr>
        <w:t xml:space="preserve">? </w:t>
      </w:r>
      <w:r w:rsidRPr="002720C2">
        <w:rPr>
          <w:rFonts w:eastAsia="Times New Roman" w:cs="Times New Roman"/>
          <w:sz w:val="22"/>
          <w:lang w:val="en-GB"/>
        </w:rPr>
        <w:t xml:space="preserve">During the preparation of the draft OP, involvement of partners </w:t>
      </w:r>
      <w:r w:rsidRPr="002720C2">
        <w:rPr>
          <w:rStyle w:val="hps"/>
          <w:sz w:val="22"/>
          <w:lang w:val="en-GB"/>
        </w:rPr>
        <w:t>was to</w:t>
      </w:r>
      <w:r w:rsidRPr="002720C2">
        <w:rPr>
          <w:sz w:val="22"/>
          <w:lang w:val="en-GB"/>
        </w:rPr>
        <w:t xml:space="preserve"> be </w:t>
      </w:r>
      <w:r w:rsidRPr="002720C2">
        <w:rPr>
          <w:rStyle w:val="hps"/>
          <w:sz w:val="22"/>
          <w:lang w:val="en-GB"/>
        </w:rPr>
        <w:t>ensured through the application of</w:t>
      </w:r>
      <w:r w:rsidRPr="002720C2">
        <w:rPr>
          <w:sz w:val="22"/>
          <w:lang w:val="en-GB"/>
        </w:rPr>
        <w:t xml:space="preserve"> </w:t>
      </w:r>
      <w:r w:rsidRPr="002720C2">
        <w:rPr>
          <w:rStyle w:val="hps"/>
          <w:sz w:val="22"/>
          <w:lang w:val="en-GB"/>
        </w:rPr>
        <w:t>both</w:t>
      </w:r>
      <w:r w:rsidRPr="002720C2">
        <w:rPr>
          <w:sz w:val="22"/>
          <w:lang w:val="en-GB"/>
        </w:rPr>
        <w:t xml:space="preserve"> </w:t>
      </w:r>
      <w:r w:rsidRPr="002720C2">
        <w:rPr>
          <w:rStyle w:val="hps"/>
          <w:sz w:val="22"/>
          <w:lang w:val="en-GB"/>
        </w:rPr>
        <w:t>institutionalised</w:t>
      </w:r>
      <w:r w:rsidRPr="002720C2">
        <w:rPr>
          <w:sz w:val="22"/>
          <w:lang w:val="en-GB"/>
        </w:rPr>
        <w:t xml:space="preserve"> </w:t>
      </w:r>
      <w:r w:rsidRPr="002720C2">
        <w:rPr>
          <w:rStyle w:val="hps"/>
          <w:sz w:val="22"/>
          <w:lang w:val="en-GB"/>
        </w:rPr>
        <w:t>and</w:t>
      </w:r>
      <w:r w:rsidRPr="002720C2">
        <w:rPr>
          <w:sz w:val="22"/>
          <w:lang w:val="en-GB"/>
        </w:rPr>
        <w:t xml:space="preserve"> </w:t>
      </w:r>
      <w:r w:rsidRPr="002720C2">
        <w:rPr>
          <w:rStyle w:val="hps"/>
          <w:sz w:val="22"/>
          <w:lang w:val="en-GB"/>
        </w:rPr>
        <w:t>non-institutionalised</w:t>
      </w:r>
      <w:r w:rsidRPr="002720C2">
        <w:rPr>
          <w:sz w:val="22"/>
          <w:lang w:val="en-GB"/>
        </w:rPr>
        <w:t xml:space="preserve"> </w:t>
      </w:r>
      <w:r w:rsidRPr="002720C2">
        <w:rPr>
          <w:rStyle w:val="hps"/>
          <w:sz w:val="22"/>
          <w:lang w:val="en-GB"/>
        </w:rPr>
        <w:t>partnership.</w:t>
      </w:r>
      <w:r w:rsidRPr="002720C2">
        <w:rPr>
          <w:sz w:val="22"/>
          <w:lang w:val="en-GB"/>
        </w:rPr>
        <w:t xml:space="preserve"> At the beginning of the </w:t>
      </w:r>
      <w:r w:rsidRPr="002720C2">
        <w:rPr>
          <w:rFonts w:eastAsia="Times New Roman" w:cs="Times New Roman"/>
          <w:sz w:val="22"/>
          <w:lang w:val="en-GB"/>
        </w:rPr>
        <w:t xml:space="preserve">preparation of the draft OP, </w:t>
      </w:r>
      <w:r w:rsidRPr="002720C2">
        <w:rPr>
          <w:rStyle w:val="hps"/>
          <w:sz w:val="22"/>
          <w:lang w:val="en-GB"/>
        </w:rPr>
        <w:t>a round</w:t>
      </w:r>
      <w:r w:rsidRPr="002720C2">
        <w:rPr>
          <w:sz w:val="22"/>
          <w:lang w:val="en-GB"/>
        </w:rPr>
        <w:t xml:space="preserve">table discussion, </w:t>
      </w:r>
      <w:r w:rsidRPr="002720C2">
        <w:rPr>
          <w:rStyle w:val="hps"/>
          <w:sz w:val="22"/>
          <w:lang w:val="en-GB"/>
        </w:rPr>
        <w:t>which was attended by</w:t>
      </w:r>
      <w:r w:rsidRPr="002720C2">
        <w:rPr>
          <w:sz w:val="22"/>
          <w:lang w:val="en-GB"/>
        </w:rPr>
        <w:t xml:space="preserve"> </w:t>
      </w:r>
      <w:r w:rsidRPr="002720C2">
        <w:rPr>
          <w:rStyle w:val="hps"/>
          <w:sz w:val="22"/>
          <w:lang w:val="en-GB"/>
        </w:rPr>
        <w:t>the main</w:t>
      </w:r>
      <w:r w:rsidRPr="002720C2">
        <w:rPr>
          <w:sz w:val="22"/>
          <w:lang w:val="en-GB"/>
        </w:rPr>
        <w:t xml:space="preserve"> </w:t>
      </w:r>
      <w:r w:rsidRPr="002720C2">
        <w:rPr>
          <w:rStyle w:val="hps"/>
          <w:sz w:val="22"/>
          <w:lang w:val="en-GB"/>
        </w:rPr>
        <w:t>stakeholders (representatives of public</w:t>
      </w:r>
      <w:r w:rsidRPr="002720C2">
        <w:rPr>
          <w:sz w:val="22"/>
          <w:lang w:val="en-GB"/>
        </w:rPr>
        <w:t xml:space="preserve"> </w:t>
      </w:r>
      <w:r w:rsidRPr="002720C2">
        <w:rPr>
          <w:rStyle w:val="hps"/>
          <w:sz w:val="22"/>
          <w:lang w:val="en-GB"/>
        </w:rPr>
        <w:t>authorities</w:t>
      </w:r>
      <w:r w:rsidRPr="002720C2">
        <w:rPr>
          <w:sz w:val="22"/>
          <w:lang w:val="en-GB"/>
        </w:rPr>
        <w:t xml:space="preserve">, municipalities, </w:t>
      </w:r>
      <w:r w:rsidRPr="002720C2">
        <w:rPr>
          <w:rStyle w:val="hps"/>
          <w:sz w:val="22"/>
          <w:lang w:val="en-GB"/>
        </w:rPr>
        <w:t>non-governmental</w:t>
      </w:r>
      <w:r w:rsidRPr="002720C2">
        <w:rPr>
          <w:sz w:val="22"/>
          <w:lang w:val="en-GB"/>
        </w:rPr>
        <w:t xml:space="preserve"> </w:t>
      </w:r>
      <w:r w:rsidRPr="002720C2">
        <w:rPr>
          <w:rStyle w:val="hps"/>
          <w:sz w:val="22"/>
          <w:lang w:val="en-GB"/>
        </w:rPr>
        <w:t>organisations and other</w:t>
      </w:r>
      <w:r w:rsidRPr="002720C2">
        <w:rPr>
          <w:sz w:val="22"/>
          <w:lang w:val="en-GB"/>
        </w:rPr>
        <w:t xml:space="preserve"> </w:t>
      </w:r>
      <w:r w:rsidRPr="002720C2">
        <w:rPr>
          <w:rStyle w:val="hps"/>
          <w:sz w:val="22"/>
          <w:lang w:val="en-GB"/>
        </w:rPr>
        <w:t>organisations),</w:t>
      </w:r>
      <w:r w:rsidRPr="002720C2">
        <w:rPr>
          <w:sz w:val="22"/>
          <w:lang w:val="en-GB"/>
        </w:rPr>
        <w:t xml:space="preserve"> was held. During the discussion agreement was reached </w:t>
      </w:r>
      <w:r w:rsidRPr="002720C2">
        <w:rPr>
          <w:rStyle w:val="hps"/>
          <w:sz w:val="22"/>
          <w:lang w:val="en-GB"/>
        </w:rPr>
        <w:t>regarding the OP preparation process</w:t>
      </w:r>
      <w:r w:rsidRPr="002720C2">
        <w:rPr>
          <w:sz w:val="22"/>
          <w:lang w:val="en-GB"/>
        </w:rPr>
        <w:t xml:space="preserve"> and it was decided </w:t>
      </w:r>
      <w:r w:rsidRPr="002720C2">
        <w:rPr>
          <w:rStyle w:val="hps"/>
          <w:sz w:val="22"/>
          <w:lang w:val="en-GB"/>
        </w:rPr>
        <w:t>that the common position</w:t>
      </w:r>
      <w:r w:rsidRPr="002720C2">
        <w:rPr>
          <w:sz w:val="22"/>
          <w:lang w:val="en-GB"/>
        </w:rPr>
        <w:t xml:space="preserve"> </w:t>
      </w:r>
      <w:r w:rsidRPr="002720C2">
        <w:rPr>
          <w:rStyle w:val="hps"/>
          <w:sz w:val="22"/>
          <w:lang w:val="en-GB"/>
        </w:rPr>
        <w:t>of</w:t>
      </w:r>
      <w:r w:rsidRPr="002720C2">
        <w:rPr>
          <w:sz w:val="22"/>
          <w:lang w:val="en-GB"/>
        </w:rPr>
        <w:t xml:space="preserve"> </w:t>
      </w:r>
      <w:r w:rsidRPr="002720C2">
        <w:rPr>
          <w:rStyle w:val="hps"/>
          <w:sz w:val="22"/>
          <w:lang w:val="en-GB"/>
        </w:rPr>
        <w:t>all partner</w:t>
      </w:r>
      <w:r w:rsidRPr="002720C2">
        <w:rPr>
          <w:sz w:val="22"/>
          <w:lang w:val="en-GB"/>
        </w:rPr>
        <w:t xml:space="preserve"> </w:t>
      </w:r>
      <w:r w:rsidRPr="002720C2">
        <w:rPr>
          <w:rStyle w:val="hps"/>
          <w:sz w:val="22"/>
          <w:lang w:val="en-GB"/>
        </w:rPr>
        <w:t>organisations</w:t>
      </w:r>
      <w:r w:rsidRPr="002720C2">
        <w:rPr>
          <w:sz w:val="22"/>
          <w:lang w:val="en-GB"/>
        </w:rPr>
        <w:t xml:space="preserve"> </w:t>
      </w:r>
      <w:r w:rsidRPr="002720C2">
        <w:rPr>
          <w:rStyle w:val="hps"/>
          <w:sz w:val="22"/>
          <w:lang w:val="en-GB"/>
        </w:rPr>
        <w:t>would be pursued</w:t>
      </w:r>
      <w:r w:rsidRPr="002720C2">
        <w:rPr>
          <w:sz w:val="22"/>
          <w:lang w:val="en-GB"/>
        </w:rPr>
        <w:t xml:space="preserve"> </w:t>
      </w:r>
      <w:r w:rsidRPr="002720C2">
        <w:rPr>
          <w:rStyle w:val="hps"/>
          <w:sz w:val="22"/>
          <w:lang w:val="en-GB"/>
        </w:rPr>
        <w:t>through a survey concerning the target</w:t>
      </w:r>
      <w:r w:rsidRPr="002720C2">
        <w:rPr>
          <w:sz w:val="22"/>
          <w:lang w:val="en-GB"/>
        </w:rPr>
        <w:t xml:space="preserve"> population </w:t>
      </w:r>
      <w:r w:rsidRPr="002720C2">
        <w:rPr>
          <w:rStyle w:val="hps"/>
          <w:sz w:val="22"/>
          <w:lang w:val="en-GB"/>
        </w:rPr>
        <w:t>groups for which the Fund support was aimed</w:t>
      </w:r>
      <w:r w:rsidRPr="002720C2">
        <w:rPr>
          <w:sz w:val="22"/>
          <w:lang w:val="en-GB"/>
        </w:rPr>
        <w:t xml:space="preserve">, </w:t>
      </w:r>
      <w:r w:rsidRPr="002720C2">
        <w:rPr>
          <w:rStyle w:val="hps"/>
          <w:sz w:val="22"/>
          <w:lang w:val="en-GB"/>
        </w:rPr>
        <w:t>the most relevant</w:t>
      </w:r>
      <w:r w:rsidRPr="002720C2">
        <w:rPr>
          <w:sz w:val="22"/>
          <w:lang w:val="en-GB"/>
        </w:rPr>
        <w:t xml:space="preserve"> </w:t>
      </w:r>
      <w:r w:rsidRPr="002720C2">
        <w:rPr>
          <w:rStyle w:val="hps"/>
          <w:sz w:val="22"/>
          <w:lang w:val="en-GB"/>
        </w:rPr>
        <w:t>activities to be supported and their</w:t>
      </w:r>
      <w:r w:rsidRPr="002720C2">
        <w:rPr>
          <w:sz w:val="22"/>
          <w:lang w:val="en-GB"/>
        </w:rPr>
        <w:t xml:space="preserve"> </w:t>
      </w:r>
      <w:r w:rsidRPr="002720C2">
        <w:rPr>
          <w:rStyle w:val="hps"/>
          <w:sz w:val="22"/>
          <w:lang w:val="en-GB"/>
        </w:rPr>
        <w:t>implementation</w:t>
      </w:r>
      <w:r w:rsidR="007E0B22">
        <w:rPr>
          <w:rStyle w:val="hps"/>
          <w:sz w:val="22"/>
          <w:lang w:val="en-GB"/>
        </w:rPr>
        <w:t xml:space="preserve"> process</w:t>
      </w:r>
      <w:r w:rsidRPr="002720C2">
        <w:rPr>
          <w:sz w:val="22"/>
          <w:lang w:val="en-GB"/>
        </w:rPr>
        <w:t xml:space="preserve">. </w:t>
      </w:r>
      <w:r w:rsidRPr="002720C2">
        <w:rPr>
          <w:rStyle w:val="hps"/>
          <w:sz w:val="22"/>
          <w:lang w:val="en-GB"/>
        </w:rPr>
        <w:t>So</w:t>
      </w:r>
      <w:r w:rsidRPr="002720C2">
        <w:rPr>
          <w:sz w:val="22"/>
          <w:lang w:val="en-GB"/>
        </w:rPr>
        <w:t xml:space="preserve"> </w:t>
      </w:r>
      <w:r w:rsidRPr="002720C2">
        <w:rPr>
          <w:rStyle w:val="hps"/>
          <w:sz w:val="22"/>
          <w:lang w:val="en-GB"/>
        </w:rPr>
        <w:t>it can be said</w:t>
      </w:r>
      <w:r w:rsidRPr="002720C2">
        <w:rPr>
          <w:sz w:val="22"/>
          <w:lang w:val="en-GB"/>
        </w:rPr>
        <w:t xml:space="preserve"> </w:t>
      </w:r>
      <w:r w:rsidRPr="002720C2">
        <w:rPr>
          <w:rStyle w:val="hps"/>
          <w:sz w:val="22"/>
          <w:lang w:val="en-GB"/>
        </w:rPr>
        <w:t>that</w:t>
      </w:r>
      <w:r w:rsidRPr="002720C2">
        <w:rPr>
          <w:sz w:val="22"/>
          <w:lang w:val="en-GB"/>
        </w:rPr>
        <w:t xml:space="preserve"> </w:t>
      </w:r>
      <w:r w:rsidRPr="002720C2">
        <w:rPr>
          <w:rStyle w:val="hps"/>
          <w:sz w:val="22"/>
          <w:lang w:val="en-GB"/>
        </w:rPr>
        <w:t>at the initial</w:t>
      </w:r>
      <w:r w:rsidRPr="002720C2">
        <w:rPr>
          <w:sz w:val="22"/>
          <w:lang w:val="en-GB"/>
        </w:rPr>
        <w:t xml:space="preserve"> </w:t>
      </w:r>
      <w:r w:rsidRPr="002720C2">
        <w:rPr>
          <w:rStyle w:val="hps"/>
          <w:sz w:val="22"/>
          <w:lang w:val="en-GB"/>
        </w:rPr>
        <w:t>planning</w:t>
      </w:r>
      <w:r w:rsidRPr="002720C2">
        <w:rPr>
          <w:sz w:val="22"/>
          <w:lang w:val="en-GB"/>
        </w:rPr>
        <w:t xml:space="preserve"> </w:t>
      </w:r>
      <w:r w:rsidRPr="002720C2">
        <w:rPr>
          <w:rStyle w:val="hps"/>
          <w:sz w:val="22"/>
          <w:lang w:val="en-GB"/>
        </w:rPr>
        <w:t>stage of the Fund support</w:t>
      </w:r>
      <w:r w:rsidRPr="002720C2">
        <w:rPr>
          <w:sz w:val="22"/>
          <w:lang w:val="en-GB"/>
        </w:rPr>
        <w:t xml:space="preserve"> </w:t>
      </w:r>
      <w:r w:rsidRPr="002720C2">
        <w:rPr>
          <w:rStyle w:val="hps"/>
          <w:sz w:val="22"/>
          <w:lang w:val="en-GB"/>
        </w:rPr>
        <w:t>(</w:t>
      </w:r>
      <w:r w:rsidRPr="002720C2">
        <w:rPr>
          <w:sz w:val="22"/>
          <w:lang w:val="en-GB"/>
        </w:rPr>
        <w:t xml:space="preserve">before </w:t>
      </w:r>
      <w:r w:rsidRPr="002720C2">
        <w:rPr>
          <w:rStyle w:val="hps"/>
          <w:sz w:val="22"/>
          <w:lang w:val="en-GB"/>
        </w:rPr>
        <w:t>the preparation of</w:t>
      </w:r>
      <w:r w:rsidRPr="002720C2">
        <w:rPr>
          <w:sz w:val="22"/>
          <w:lang w:val="en-GB"/>
        </w:rPr>
        <w:t xml:space="preserve"> </w:t>
      </w:r>
      <w:r w:rsidRPr="002720C2">
        <w:rPr>
          <w:rStyle w:val="hps"/>
          <w:sz w:val="22"/>
          <w:lang w:val="en-GB"/>
        </w:rPr>
        <w:t>the draft</w:t>
      </w:r>
      <w:r w:rsidRPr="002720C2">
        <w:rPr>
          <w:sz w:val="22"/>
          <w:lang w:val="en-GB"/>
        </w:rPr>
        <w:t xml:space="preserve"> </w:t>
      </w:r>
      <w:r w:rsidRPr="002720C2">
        <w:rPr>
          <w:rStyle w:val="hps"/>
          <w:sz w:val="22"/>
          <w:lang w:val="en-GB"/>
        </w:rPr>
        <w:t>OP</w:t>
      </w:r>
      <w:r w:rsidRPr="002720C2">
        <w:rPr>
          <w:sz w:val="22"/>
          <w:lang w:val="en-GB"/>
        </w:rPr>
        <w:t xml:space="preserve">) </w:t>
      </w:r>
      <w:r w:rsidRPr="002720C2">
        <w:rPr>
          <w:rStyle w:val="hps"/>
          <w:sz w:val="22"/>
          <w:lang w:val="en-GB"/>
        </w:rPr>
        <w:t>a broad</w:t>
      </w:r>
      <w:r w:rsidRPr="002720C2">
        <w:rPr>
          <w:sz w:val="22"/>
          <w:lang w:val="en-GB"/>
        </w:rPr>
        <w:t xml:space="preserve"> </w:t>
      </w:r>
      <w:r w:rsidRPr="002720C2">
        <w:rPr>
          <w:rStyle w:val="hps"/>
          <w:sz w:val="22"/>
          <w:lang w:val="en-GB"/>
        </w:rPr>
        <w:t>partnership was ensured</w:t>
      </w:r>
      <w:r w:rsidRPr="002720C2">
        <w:rPr>
          <w:sz w:val="22"/>
          <w:lang w:val="en-GB"/>
        </w:rPr>
        <w:t xml:space="preserve">. </w:t>
      </w:r>
      <w:r w:rsidRPr="002720C2">
        <w:rPr>
          <w:rStyle w:val="hps"/>
          <w:sz w:val="22"/>
          <w:lang w:val="en-GB"/>
        </w:rPr>
        <w:t>Once the</w:t>
      </w:r>
      <w:r w:rsidRPr="002720C2">
        <w:rPr>
          <w:sz w:val="22"/>
          <w:lang w:val="en-GB"/>
        </w:rPr>
        <w:t xml:space="preserve"> </w:t>
      </w:r>
      <w:r w:rsidRPr="002720C2">
        <w:rPr>
          <w:rStyle w:val="hps"/>
          <w:sz w:val="22"/>
          <w:lang w:val="en-GB"/>
        </w:rPr>
        <w:t>draft OP was prepared</w:t>
      </w:r>
      <w:r w:rsidRPr="002720C2">
        <w:rPr>
          <w:sz w:val="22"/>
          <w:lang w:val="en-GB"/>
        </w:rPr>
        <w:t xml:space="preserve">, it was </w:t>
      </w:r>
      <w:r w:rsidRPr="002720C2">
        <w:rPr>
          <w:rStyle w:val="hps"/>
          <w:sz w:val="22"/>
          <w:lang w:val="en-GB"/>
        </w:rPr>
        <w:t>sent to all</w:t>
      </w:r>
      <w:r w:rsidRPr="002720C2">
        <w:rPr>
          <w:sz w:val="22"/>
          <w:lang w:val="en-GB"/>
        </w:rPr>
        <w:t xml:space="preserve"> </w:t>
      </w:r>
      <w:r w:rsidRPr="002720C2">
        <w:rPr>
          <w:rStyle w:val="hps"/>
          <w:sz w:val="22"/>
          <w:lang w:val="en-GB"/>
        </w:rPr>
        <w:t>municipalities and non-governmental</w:t>
      </w:r>
      <w:r w:rsidRPr="002720C2">
        <w:rPr>
          <w:sz w:val="22"/>
          <w:lang w:val="en-GB"/>
        </w:rPr>
        <w:t xml:space="preserve"> </w:t>
      </w:r>
      <w:r w:rsidRPr="002720C2">
        <w:rPr>
          <w:rStyle w:val="hps"/>
          <w:sz w:val="22"/>
          <w:lang w:val="en-GB"/>
        </w:rPr>
        <w:t>organisations and was also placed on</w:t>
      </w:r>
      <w:r w:rsidRPr="002720C2">
        <w:rPr>
          <w:sz w:val="22"/>
          <w:lang w:val="en-GB"/>
        </w:rPr>
        <w:t xml:space="preserve"> </w:t>
      </w:r>
      <w:r w:rsidRPr="002720C2">
        <w:rPr>
          <w:rStyle w:val="hps"/>
          <w:sz w:val="22"/>
          <w:lang w:val="en-GB"/>
        </w:rPr>
        <w:t>the website of the Ministry of Social</w:t>
      </w:r>
      <w:r w:rsidRPr="002720C2">
        <w:rPr>
          <w:sz w:val="22"/>
          <w:lang w:val="en-GB"/>
        </w:rPr>
        <w:t xml:space="preserve"> </w:t>
      </w:r>
      <w:r w:rsidRPr="002720C2">
        <w:rPr>
          <w:rStyle w:val="hps"/>
          <w:sz w:val="22"/>
          <w:lang w:val="en-GB"/>
        </w:rPr>
        <w:t>Security and</w:t>
      </w:r>
      <w:r w:rsidRPr="002720C2">
        <w:rPr>
          <w:sz w:val="22"/>
          <w:lang w:val="en-GB"/>
        </w:rPr>
        <w:t xml:space="preserve"> </w:t>
      </w:r>
      <w:r w:rsidRPr="002720C2">
        <w:rPr>
          <w:rStyle w:val="hps"/>
          <w:sz w:val="22"/>
          <w:lang w:val="en-GB"/>
        </w:rPr>
        <w:t>Labour</w:t>
      </w:r>
      <w:r w:rsidRPr="002720C2">
        <w:rPr>
          <w:sz w:val="22"/>
          <w:lang w:val="en-GB"/>
        </w:rPr>
        <w:t xml:space="preserve"> </w:t>
      </w:r>
      <w:r w:rsidRPr="002720C2">
        <w:rPr>
          <w:rStyle w:val="hps"/>
          <w:sz w:val="22"/>
          <w:lang w:val="en-GB"/>
        </w:rPr>
        <w:t>and was made available to</w:t>
      </w:r>
      <w:r w:rsidRPr="002720C2">
        <w:rPr>
          <w:sz w:val="22"/>
          <w:lang w:val="en-GB"/>
        </w:rPr>
        <w:t xml:space="preserve"> </w:t>
      </w:r>
      <w:r w:rsidRPr="002720C2">
        <w:rPr>
          <w:rStyle w:val="hps"/>
          <w:sz w:val="22"/>
          <w:lang w:val="en-GB"/>
        </w:rPr>
        <w:t>the public</w:t>
      </w:r>
      <w:r w:rsidRPr="002720C2">
        <w:rPr>
          <w:sz w:val="22"/>
          <w:lang w:val="en-GB"/>
        </w:rPr>
        <w:t xml:space="preserve">. Therefore, the opportunity for all stakeholders to </w:t>
      </w:r>
      <w:r w:rsidR="007E0B22">
        <w:rPr>
          <w:sz w:val="22"/>
          <w:lang w:val="en-GB"/>
        </w:rPr>
        <w:t>get acquainted</w:t>
      </w:r>
      <w:r w:rsidRPr="002720C2">
        <w:rPr>
          <w:sz w:val="22"/>
          <w:lang w:val="en-GB"/>
        </w:rPr>
        <w:t xml:space="preserve"> with the planned use of the Fund support </w:t>
      </w:r>
      <w:r w:rsidRPr="002720C2">
        <w:rPr>
          <w:rStyle w:val="hps"/>
          <w:sz w:val="22"/>
          <w:lang w:val="en-GB"/>
        </w:rPr>
        <w:t>and</w:t>
      </w:r>
      <w:r w:rsidRPr="002720C2">
        <w:rPr>
          <w:sz w:val="22"/>
          <w:lang w:val="en-GB"/>
        </w:rPr>
        <w:t xml:space="preserve"> </w:t>
      </w:r>
      <w:r w:rsidRPr="002720C2">
        <w:rPr>
          <w:rStyle w:val="hps"/>
          <w:sz w:val="22"/>
          <w:lang w:val="en-GB"/>
        </w:rPr>
        <w:t>submit their</w:t>
      </w:r>
      <w:r w:rsidRPr="002720C2">
        <w:rPr>
          <w:sz w:val="22"/>
          <w:lang w:val="en-GB"/>
        </w:rPr>
        <w:t xml:space="preserve"> </w:t>
      </w:r>
      <w:r w:rsidRPr="002720C2">
        <w:rPr>
          <w:rStyle w:val="hps"/>
          <w:sz w:val="22"/>
          <w:lang w:val="en-GB"/>
        </w:rPr>
        <w:t>proposals was ensured.</w:t>
      </w:r>
      <w:r w:rsidRPr="002720C2">
        <w:rPr>
          <w:sz w:val="22"/>
          <w:lang w:val="en-GB"/>
        </w:rPr>
        <w:t xml:space="preserve"> </w:t>
      </w:r>
      <w:r w:rsidRPr="002720C2">
        <w:rPr>
          <w:rStyle w:val="hps"/>
          <w:sz w:val="22"/>
          <w:lang w:val="en-GB"/>
        </w:rPr>
        <w:t>Finally</w:t>
      </w:r>
      <w:r w:rsidRPr="002720C2">
        <w:rPr>
          <w:sz w:val="22"/>
          <w:lang w:val="en-GB"/>
        </w:rPr>
        <w:t xml:space="preserve">, </w:t>
      </w:r>
      <w:r w:rsidRPr="002720C2">
        <w:rPr>
          <w:rStyle w:val="hps"/>
          <w:sz w:val="22"/>
          <w:lang w:val="en-GB"/>
        </w:rPr>
        <w:t>during the preparation of</w:t>
      </w:r>
      <w:r w:rsidRPr="002720C2">
        <w:rPr>
          <w:sz w:val="22"/>
          <w:lang w:val="en-GB"/>
        </w:rPr>
        <w:t xml:space="preserve"> </w:t>
      </w:r>
      <w:r w:rsidRPr="002720C2">
        <w:rPr>
          <w:rStyle w:val="hps"/>
          <w:sz w:val="22"/>
          <w:lang w:val="en-GB"/>
        </w:rPr>
        <w:t>the draft</w:t>
      </w:r>
      <w:r w:rsidRPr="002720C2">
        <w:rPr>
          <w:sz w:val="22"/>
          <w:lang w:val="en-GB"/>
        </w:rPr>
        <w:t xml:space="preserve"> </w:t>
      </w:r>
      <w:r w:rsidRPr="002720C2">
        <w:rPr>
          <w:rStyle w:val="hps"/>
          <w:sz w:val="22"/>
          <w:lang w:val="en-GB"/>
        </w:rPr>
        <w:t xml:space="preserve">OP, a Monitoring Committee was formed consisting of </w:t>
      </w:r>
      <w:r w:rsidRPr="002720C2">
        <w:rPr>
          <w:sz w:val="22"/>
          <w:lang w:val="en-GB"/>
        </w:rPr>
        <w:t xml:space="preserve">the representatives of the organisations involved in </w:t>
      </w:r>
      <w:r w:rsidRPr="002720C2">
        <w:rPr>
          <w:rStyle w:val="hps"/>
          <w:sz w:val="22"/>
          <w:lang w:val="en-GB"/>
        </w:rPr>
        <w:t>the planning</w:t>
      </w:r>
      <w:r w:rsidRPr="002720C2">
        <w:rPr>
          <w:sz w:val="22"/>
          <w:lang w:val="en-GB"/>
        </w:rPr>
        <w:t xml:space="preserve"> </w:t>
      </w:r>
      <w:r w:rsidRPr="002720C2">
        <w:rPr>
          <w:rStyle w:val="hps"/>
          <w:sz w:val="22"/>
          <w:lang w:val="en-GB"/>
        </w:rPr>
        <w:t>and implementation of the OP activities</w:t>
      </w:r>
      <w:r w:rsidRPr="002720C2">
        <w:rPr>
          <w:sz w:val="22"/>
          <w:lang w:val="en-GB"/>
        </w:rPr>
        <w:t xml:space="preserve"> </w:t>
      </w:r>
      <w:r w:rsidRPr="002720C2">
        <w:rPr>
          <w:rStyle w:val="hps"/>
          <w:sz w:val="22"/>
          <w:lang w:val="en-GB"/>
        </w:rPr>
        <w:t>and</w:t>
      </w:r>
      <w:r w:rsidRPr="002720C2">
        <w:rPr>
          <w:sz w:val="22"/>
          <w:lang w:val="en-GB"/>
        </w:rPr>
        <w:t xml:space="preserve"> </w:t>
      </w:r>
      <w:r w:rsidRPr="002720C2">
        <w:rPr>
          <w:rStyle w:val="hps"/>
          <w:sz w:val="22"/>
          <w:lang w:val="en-GB"/>
        </w:rPr>
        <w:t>other</w:t>
      </w:r>
      <w:r w:rsidRPr="002720C2">
        <w:rPr>
          <w:sz w:val="22"/>
          <w:lang w:val="en-GB"/>
        </w:rPr>
        <w:t xml:space="preserve"> </w:t>
      </w:r>
      <w:r w:rsidRPr="002720C2">
        <w:rPr>
          <w:rStyle w:val="hps"/>
          <w:sz w:val="22"/>
          <w:lang w:val="en-GB"/>
        </w:rPr>
        <w:t>stakeholders</w:t>
      </w:r>
      <w:r w:rsidRPr="002720C2">
        <w:rPr>
          <w:sz w:val="22"/>
          <w:lang w:val="en-GB"/>
        </w:rPr>
        <w:t xml:space="preserve">. </w:t>
      </w:r>
      <w:r w:rsidRPr="002720C2">
        <w:rPr>
          <w:rStyle w:val="hps"/>
          <w:sz w:val="22"/>
          <w:lang w:val="en-GB"/>
        </w:rPr>
        <w:t>However,</w:t>
      </w:r>
      <w:r w:rsidRPr="002720C2">
        <w:rPr>
          <w:sz w:val="22"/>
          <w:lang w:val="en-GB"/>
        </w:rPr>
        <w:t xml:space="preserve"> </w:t>
      </w:r>
      <w:r w:rsidRPr="002720C2">
        <w:rPr>
          <w:rStyle w:val="hps"/>
          <w:sz w:val="22"/>
          <w:lang w:val="en-GB"/>
        </w:rPr>
        <w:t>the Monitoring Committee</w:t>
      </w:r>
      <w:r w:rsidRPr="002720C2">
        <w:rPr>
          <w:sz w:val="22"/>
          <w:lang w:val="en-GB"/>
        </w:rPr>
        <w:t xml:space="preserve"> </w:t>
      </w:r>
      <w:r w:rsidRPr="002720C2">
        <w:rPr>
          <w:rStyle w:val="hps"/>
          <w:sz w:val="22"/>
          <w:lang w:val="en-GB"/>
        </w:rPr>
        <w:t xml:space="preserve">is </w:t>
      </w:r>
      <w:r w:rsidR="007E0B22">
        <w:rPr>
          <w:rStyle w:val="hps"/>
          <w:sz w:val="22"/>
          <w:lang w:val="en-GB"/>
        </w:rPr>
        <w:t xml:space="preserve">only </w:t>
      </w:r>
      <w:r w:rsidRPr="002720C2">
        <w:rPr>
          <w:rStyle w:val="hps"/>
          <w:sz w:val="22"/>
          <w:lang w:val="en-GB"/>
        </w:rPr>
        <w:t xml:space="preserve">an advisory </w:t>
      </w:r>
      <w:r w:rsidRPr="002720C2">
        <w:rPr>
          <w:sz w:val="22"/>
          <w:lang w:val="en-GB"/>
        </w:rPr>
        <w:t>body</w:t>
      </w:r>
      <w:r w:rsidRPr="002720C2">
        <w:rPr>
          <w:rStyle w:val="hps"/>
          <w:sz w:val="22"/>
          <w:lang w:val="en-GB"/>
        </w:rPr>
        <w:t>, while the</w:t>
      </w:r>
      <w:r w:rsidRPr="002720C2">
        <w:rPr>
          <w:sz w:val="22"/>
          <w:lang w:val="en-GB"/>
        </w:rPr>
        <w:t xml:space="preserve"> </w:t>
      </w:r>
      <w:r w:rsidRPr="002720C2">
        <w:rPr>
          <w:rStyle w:val="hps"/>
          <w:sz w:val="22"/>
          <w:lang w:val="en-GB"/>
        </w:rPr>
        <w:t>representatives of partner organisations constitute less</w:t>
      </w:r>
      <w:r w:rsidRPr="002720C2">
        <w:rPr>
          <w:sz w:val="22"/>
          <w:lang w:val="en-GB"/>
        </w:rPr>
        <w:t xml:space="preserve"> </w:t>
      </w:r>
      <w:r w:rsidRPr="002720C2">
        <w:rPr>
          <w:rStyle w:val="hps"/>
          <w:sz w:val="22"/>
          <w:lang w:val="en-GB"/>
        </w:rPr>
        <w:t>than half of the</w:t>
      </w:r>
      <w:r w:rsidRPr="002720C2">
        <w:rPr>
          <w:sz w:val="22"/>
          <w:lang w:val="en-GB"/>
        </w:rPr>
        <w:t xml:space="preserve"> </w:t>
      </w:r>
      <w:r w:rsidR="007E0B22">
        <w:rPr>
          <w:rStyle w:val="hps"/>
          <w:sz w:val="22"/>
          <w:lang w:val="en-GB"/>
        </w:rPr>
        <w:t>C</w:t>
      </w:r>
      <w:r w:rsidRPr="002720C2">
        <w:rPr>
          <w:rStyle w:val="hps"/>
          <w:sz w:val="22"/>
          <w:lang w:val="en-GB"/>
        </w:rPr>
        <w:t>ommittee members</w:t>
      </w:r>
      <w:r w:rsidRPr="002720C2">
        <w:rPr>
          <w:rFonts w:eastAsia="Times New Roman" w:cs="Times New Roman"/>
          <w:sz w:val="22"/>
          <w:lang w:val="en-GB"/>
        </w:rPr>
        <w:t xml:space="preserve">.  </w:t>
      </w:r>
    </w:p>
    <w:p w:rsidR="00903973" w:rsidRPr="002720C2" w:rsidRDefault="00903973" w:rsidP="00903973">
      <w:pPr>
        <w:numPr>
          <w:ilvl w:val="0"/>
          <w:numId w:val="15"/>
        </w:numPr>
        <w:spacing w:before="100" w:beforeAutospacing="1" w:after="100" w:afterAutospacing="1"/>
        <w:jc w:val="both"/>
        <w:rPr>
          <w:rFonts w:eastAsia="Times New Roman" w:cs="Times New Roman"/>
          <w:bCs/>
          <w:sz w:val="22"/>
          <w:lang w:val="en-GB"/>
        </w:rPr>
      </w:pPr>
      <w:r w:rsidRPr="002720C2">
        <w:rPr>
          <w:rStyle w:val="hps"/>
          <w:sz w:val="22"/>
          <w:lang w:val="en-GB"/>
        </w:rPr>
        <w:t>Time: is the period provided to partners for the preparation for the partnership process sufficient</w:t>
      </w:r>
      <w:r w:rsidRPr="002720C2">
        <w:rPr>
          <w:sz w:val="22"/>
          <w:lang w:val="en-GB"/>
        </w:rPr>
        <w:t xml:space="preserve">? </w:t>
      </w:r>
      <w:r w:rsidRPr="002720C2">
        <w:rPr>
          <w:rStyle w:val="hps"/>
          <w:sz w:val="22"/>
          <w:lang w:val="en-GB"/>
        </w:rPr>
        <w:t>As previously mentioned,</w:t>
      </w:r>
      <w:r w:rsidRPr="002720C2">
        <w:rPr>
          <w:sz w:val="22"/>
          <w:lang w:val="en-GB"/>
        </w:rPr>
        <w:t xml:space="preserve"> </w:t>
      </w:r>
      <w:r w:rsidRPr="002720C2">
        <w:rPr>
          <w:rStyle w:val="hps"/>
          <w:sz w:val="22"/>
          <w:lang w:val="en-GB"/>
        </w:rPr>
        <w:t>in the initial</w:t>
      </w:r>
      <w:r w:rsidRPr="002720C2">
        <w:rPr>
          <w:sz w:val="22"/>
          <w:lang w:val="en-GB"/>
        </w:rPr>
        <w:t xml:space="preserve"> </w:t>
      </w:r>
      <w:r w:rsidRPr="002720C2">
        <w:rPr>
          <w:rStyle w:val="hps"/>
          <w:sz w:val="22"/>
          <w:lang w:val="en-GB"/>
        </w:rPr>
        <w:t>planning phase of</w:t>
      </w:r>
      <w:r w:rsidRPr="002720C2">
        <w:rPr>
          <w:sz w:val="22"/>
          <w:lang w:val="en-GB"/>
        </w:rPr>
        <w:t xml:space="preserve"> </w:t>
      </w:r>
      <w:r w:rsidRPr="002720C2">
        <w:rPr>
          <w:rStyle w:val="hps"/>
          <w:sz w:val="22"/>
          <w:lang w:val="en-GB"/>
        </w:rPr>
        <w:t>the Fund</w:t>
      </w:r>
      <w:r w:rsidRPr="002720C2">
        <w:rPr>
          <w:sz w:val="22"/>
          <w:lang w:val="en-GB"/>
        </w:rPr>
        <w:t xml:space="preserve"> </w:t>
      </w:r>
      <w:r w:rsidRPr="002720C2">
        <w:rPr>
          <w:rStyle w:val="hps"/>
          <w:sz w:val="22"/>
          <w:lang w:val="en-GB"/>
        </w:rPr>
        <w:t>support</w:t>
      </w:r>
      <w:r w:rsidRPr="002720C2">
        <w:rPr>
          <w:sz w:val="22"/>
          <w:lang w:val="en-GB"/>
        </w:rPr>
        <w:t xml:space="preserve"> </w:t>
      </w:r>
      <w:r w:rsidRPr="002720C2">
        <w:rPr>
          <w:rStyle w:val="hps"/>
          <w:sz w:val="22"/>
          <w:lang w:val="en-GB"/>
        </w:rPr>
        <w:t>the stakeholders were able to participate</w:t>
      </w:r>
      <w:r w:rsidRPr="002720C2">
        <w:rPr>
          <w:sz w:val="22"/>
          <w:lang w:val="en-GB"/>
        </w:rPr>
        <w:t xml:space="preserve"> </w:t>
      </w:r>
      <w:r w:rsidRPr="002720C2">
        <w:rPr>
          <w:rStyle w:val="hps"/>
          <w:sz w:val="22"/>
          <w:lang w:val="en-GB"/>
        </w:rPr>
        <w:t>in the partnership process</w:t>
      </w:r>
      <w:r w:rsidRPr="002720C2">
        <w:rPr>
          <w:sz w:val="22"/>
          <w:lang w:val="en-GB"/>
        </w:rPr>
        <w:t xml:space="preserve"> through participation in </w:t>
      </w:r>
      <w:r w:rsidRPr="002720C2">
        <w:rPr>
          <w:rStyle w:val="hps"/>
          <w:sz w:val="22"/>
          <w:lang w:val="en-GB"/>
        </w:rPr>
        <w:t>the roundtable discussion, answering the</w:t>
      </w:r>
      <w:r w:rsidRPr="002720C2">
        <w:rPr>
          <w:sz w:val="22"/>
          <w:lang w:val="en-GB"/>
        </w:rPr>
        <w:t xml:space="preserve"> </w:t>
      </w:r>
      <w:r w:rsidRPr="002720C2">
        <w:rPr>
          <w:rStyle w:val="hps"/>
          <w:sz w:val="22"/>
          <w:lang w:val="en-GB"/>
        </w:rPr>
        <w:t>survey</w:t>
      </w:r>
      <w:r w:rsidRPr="002720C2">
        <w:rPr>
          <w:sz w:val="22"/>
          <w:lang w:val="en-GB"/>
        </w:rPr>
        <w:t xml:space="preserve"> </w:t>
      </w:r>
      <w:r w:rsidRPr="002720C2">
        <w:rPr>
          <w:rStyle w:val="hps"/>
          <w:sz w:val="22"/>
          <w:lang w:val="en-GB"/>
        </w:rPr>
        <w:t>questionnaire, and sending their</w:t>
      </w:r>
      <w:r w:rsidRPr="002720C2">
        <w:rPr>
          <w:sz w:val="22"/>
          <w:lang w:val="en-GB"/>
        </w:rPr>
        <w:t xml:space="preserve"> </w:t>
      </w:r>
      <w:r w:rsidRPr="002720C2">
        <w:rPr>
          <w:rStyle w:val="hps"/>
          <w:sz w:val="22"/>
          <w:lang w:val="en-GB"/>
        </w:rPr>
        <w:t>proposals regarding the draft OP</w:t>
      </w:r>
      <w:r w:rsidRPr="002720C2">
        <w:rPr>
          <w:sz w:val="22"/>
          <w:lang w:val="en-GB"/>
        </w:rPr>
        <w:t xml:space="preserve">, which </w:t>
      </w:r>
      <w:r w:rsidRPr="002720C2">
        <w:rPr>
          <w:rStyle w:val="hps"/>
          <w:sz w:val="22"/>
          <w:lang w:val="en-GB"/>
        </w:rPr>
        <w:t>was</w:t>
      </w:r>
      <w:r w:rsidRPr="002720C2">
        <w:rPr>
          <w:sz w:val="22"/>
          <w:lang w:val="en-GB"/>
        </w:rPr>
        <w:t xml:space="preserve"> </w:t>
      </w:r>
      <w:r w:rsidRPr="002720C2">
        <w:rPr>
          <w:rStyle w:val="hps"/>
          <w:sz w:val="22"/>
          <w:lang w:val="en-GB"/>
        </w:rPr>
        <w:t>available on the website of the Ministry of Social</w:t>
      </w:r>
      <w:r w:rsidRPr="002720C2">
        <w:rPr>
          <w:sz w:val="22"/>
          <w:lang w:val="en-GB"/>
        </w:rPr>
        <w:t xml:space="preserve"> </w:t>
      </w:r>
      <w:r w:rsidRPr="002720C2">
        <w:rPr>
          <w:rStyle w:val="hps"/>
          <w:sz w:val="22"/>
          <w:lang w:val="en-GB"/>
        </w:rPr>
        <w:t xml:space="preserve">Security and Labour </w:t>
      </w:r>
      <w:r w:rsidRPr="002720C2">
        <w:rPr>
          <w:sz w:val="22"/>
          <w:lang w:val="en-GB"/>
        </w:rPr>
        <w:t xml:space="preserve">for </w:t>
      </w:r>
      <w:r w:rsidRPr="002720C2">
        <w:rPr>
          <w:rStyle w:val="hps"/>
          <w:sz w:val="22"/>
          <w:lang w:val="en-GB"/>
        </w:rPr>
        <w:t>about a month</w:t>
      </w:r>
      <w:r w:rsidRPr="002720C2">
        <w:rPr>
          <w:sz w:val="22"/>
          <w:lang w:val="en-GB"/>
        </w:rPr>
        <w:t xml:space="preserve">. </w:t>
      </w:r>
      <w:r w:rsidRPr="002720C2">
        <w:rPr>
          <w:rStyle w:val="hps"/>
          <w:sz w:val="22"/>
          <w:lang w:val="en-GB"/>
        </w:rPr>
        <w:t>It can therefore be said</w:t>
      </w:r>
      <w:r w:rsidRPr="002720C2">
        <w:rPr>
          <w:sz w:val="22"/>
          <w:lang w:val="en-GB"/>
        </w:rPr>
        <w:t xml:space="preserve"> </w:t>
      </w:r>
      <w:r w:rsidRPr="002720C2">
        <w:rPr>
          <w:rStyle w:val="hps"/>
          <w:sz w:val="22"/>
          <w:lang w:val="en-GB"/>
        </w:rPr>
        <w:t>that partners were</w:t>
      </w:r>
      <w:r w:rsidRPr="002720C2">
        <w:rPr>
          <w:sz w:val="22"/>
          <w:lang w:val="en-GB"/>
        </w:rPr>
        <w:t xml:space="preserve"> </w:t>
      </w:r>
      <w:r w:rsidRPr="002720C2">
        <w:rPr>
          <w:rStyle w:val="hps"/>
          <w:sz w:val="22"/>
          <w:lang w:val="en-GB"/>
        </w:rPr>
        <w:t>provided sufficient</w:t>
      </w:r>
      <w:r w:rsidRPr="002720C2">
        <w:rPr>
          <w:sz w:val="22"/>
          <w:lang w:val="en-GB"/>
        </w:rPr>
        <w:t xml:space="preserve"> </w:t>
      </w:r>
      <w:r w:rsidRPr="002720C2">
        <w:rPr>
          <w:rStyle w:val="hps"/>
          <w:sz w:val="22"/>
          <w:lang w:val="en-GB"/>
        </w:rPr>
        <w:t>time to</w:t>
      </w:r>
      <w:r w:rsidRPr="002720C2">
        <w:rPr>
          <w:sz w:val="22"/>
          <w:lang w:val="en-GB"/>
        </w:rPr>
        <w:t xml:space="preserve"> </w:t>
      </w:r>
      <w:r w:rsidRPr="002720C2">
        <w:rPr>
          <w:rStyle w:val="hps"/>
          <w:sz w:val="22"/>
          <w:lang w:val="en-GB"/>
        </w:rPr>
        <w:t xml:space="preserve">engage in </w:t>
      </w:r>
      <w:r w:rsidRPr="002720C2">
        <w:rPr>
          <w:sz w:val="22"/>
          <w:lang w:val="en-GB"/>
        </w:rPr>
        <w:t xml:space="preserve">planning activities supported by the </w:t>
      </w:r>
      <w:r w:rsidRPr="002720C2">
        <w:rPr>
          <w:rStyle w:val="hps"/>
          <w:sz w:val="22"/>
          <w:lang w:val="en-GB"/>
        </w:rPr>
        <w:t>Fund</w:t>
      </w:r>
      <w:r w:rsidRPr="002720C2">
        <w:rPr>
          <w:sz w:val="22"/>
          <w:lang w:val="en-GB"/>
        </w:rPr>
        <w:t xml:space="preserve"> </w:t>
      </w:r>
      <w:r w:rsidRPr="002720C2">
        <w:rPr>
          <w:rStyle w:val="hps"/>
          <w:sz w:val="22"/>
          <w:lang w:val="en-GB"/>
        </w:rPr>
        <w:t>and</w:t>
      </w:r>
      <w:r w:rsidRPr="002720C2">
        <w:rPr>
          <w:sz w:val="22"/>
          <w:lang w:val="en-GB"/>
        </w:rPr>
        <w:t xml:space="preserve"> </w:t>
      </w:r>
      <w:r w:rsidRPr="002720C2">
        <w:rPr>
          <w:rStyle w:val="hps"/>
          <w:sz w:val="22"/>
          <w:lang w:val="en-GB"/>
        </w:rPr>
        <w:t>preparing the OP</w:t>
      </w:r>
      <w:r w:rsidRPr="002720C2">
        <w:rPr>
          <w:rFonts w:eastAsia="Times New Roman" w:cs="Times New Roman"/>
          <w:sz w:val="22"/>
          <w:lang w:val="en-GB"/>
        </w:rPr>
        <w:t>.</w:t>
      </w:r>
    </w:p>
    <w:p w:rsidR="006C5B5C" w:rsidRPr="002720C2" w:rsidRDefault="00903973" w:rsidP="00903973">
      <w:pPr>
        <w:numPr>
          <w:ilvl w:val="0"/>
          <w:numId w:val="15"/>
        </w:numPr>
        <w:spacing w:before="100" w:beforeAutospacing="1" w:after="100" w:afterAutospacing="1"/>
        <w:jc w:val="both"/>
        <w:rPr>
          <w:rFonts w:eastAsia="Times New Roman" w:cs="Times New Roman"/>
          <w:bCs/>
          <w:sz w:val="22"/>
          <w:lang w:val="en-GB"/>
        </w:rPr>
      </w:pPr>
      <w:r w:rsidRPr="002720C2">
        <w:rPr>
          <w:rStyle w:val="hps"/>
          <w:sz w:val="22"/>
          <w:lang w:val="en-GB"/>
        </w:rPr>
        <w:t>Clarity:</w:t>
      </w:r>
      <w:r w:rsidRPr="002720C2">
        <w:rPr>
          <w:sz w:val="22"/>
          <w:lang w:val="en-GB"/>
        </w:rPr>
        <w:t xml:space="preserve"> </w:t>
      </w:r>
      <w:r w:rsidRPr="002720C2">
        <w:rPr>
          <w:rStyle w:val="hps"/>
          <w:sz w:val="22"/>
          <w:lang w:val="en-GB"/>
        </w:rPr>
        <w:t>is it clear to partners</w:t>
      </w:r>
      <w:r w:rsidRPr="002720C2">
        <w:rPr>
          <w:sz w:val="22"/>
          <w:lang w:val="en-GB"/>
        </w:rPr>
        <w:t xml:space="preserve"> what is </w:t>
      </w:r>
      <w:r w:rsidR="007E0B22">
        <w:rPr>
          <w:sz w:val="22"/>
          <w:lang w:val="en-GB"/>
        </w:rPr>
        <w:t>the object of the consultations</w:t>
      </w:r>
      <w:r w:rsidRPr="002720C2">
        <w:rPr>
          <w:sz w:val="22"/>
          <w:lang w:val="en-GB"/>
        </w:rPr>
        <w:t xml:space="preserve"> </w:t>
      </w:r>
      <w:r w:rsidRPr="002720C2">
        <w:rPr>
          <w:rStyle w:val="hps"/>
          <w:sz w:val="22"/>
          <w:lang w:val="en-GB"/>
        </w:rPr>
        <w:t>and how</w:t>
      </w:r>
      <w:r w:rsidRPr="002720C2">
        <w:rPr>
          <w:sz w:val="22"/>
          <w:lang w:val="en-GB"/>
        </w:rPr>
        <w:t xml:space="preserve"> </w:t>
      </w:r>
      <w:r w:rsidRPr="002720C2">
        <w:rPr>
          <w:rStyle w:val="hps"/>
          <w:sz w:val="22"/>
          <w:lang w:val="en-GB"/>
        </w:rPr>
        <w:t>their</w:t>
      </w:r>
      <w:r w:rsidRPr="002720C2">
        <w:rPr>
          <w:sz w:val="22"/>
          <w:lang w:val="en-GB"/>
        </w:rPr>
        <w:t xml:space="preserve"> </w:t>
      </w:r>
      <w:r w:rsidRPr="002720C2">
        <w:rPr>
          <w:rStyle w:val="hps"/>
          <w:sz w:val="22"/>
          <w:lang w:val="en-GB"/>
        </w:rPr>
        <w:t>views</w:t>
      </w:r>
      <w:r w:rsidRPr="002720C2">
        <w:rPr>
          <w:sz w:val="22"/>
          <w:lang w:val="en-GB"/>
        </w:rPr>
        <w:t xml:space="preserve"> </w:t>
      </w:r>
      <w:r w:rsidRPr="002720C2">
        <w:rPr>
          <w:rStyle w:val="hps"/>
          <w:sz w:val="22"/>
          <w:lang w:val="en-GB"/>
        </w:rPr>
        <w:t>will be</w:t>
      </w:r>
      <w:r w:rsidRPr="002720C2">
        <w:rPr>
          <w:sz w:val="22"/>
          <w:lang w:val="en-GB"/>
        </w:rPr>
        <w:t xml:space="preserve"> </w:t>
      </w:r>
      <w:r w:rsidRPr="002720C2">
        <w:rPr>
          <w:rStyle w:val="hps"/>
          <w:sz w:val="22"/>
          <w:lang w:val="en-GB"/>
        </w:rPr>
        <w:t>taken into account</w:t>
      </w:r>
      <w:r w:rsidRPr="002720C2">
        <w:rPr>
          <w:sz w:val="22"/>
          <w:lang w:val="en-GB"/>
        </w:rPr>
        <w:t xml:space="preserve">? </w:t>
      </w:r>
      <w:r w:rsidRPr="002720C2">
        <w:rPr>
          <w:rStyle w:val="hps"/>
          <w:sz w:val="22"/>
          <w:lang w:val="en-GB"/>
        </w:rPr>
        <w:t>Although the</w:t>
      </w:r>
      <w:r w:rsidRPr="002720C2">
        <w:rPr>
          <w:sz w:val="22"/>
          <w:lang w:val="en-GB"/>
        </w:rPr>
        <w:t xml:space="preserve"> interview </w:t>
      </w:r>
      <w:r w:rsidRPr="002720C2">
        <w:rPr>
          <w:rStyle w:val="hps"/>
          <w:sz w:val="22"/>
          <w:lang w:val="en-GB"/>
        </w:rPr>
        <w:t>programme showed that the</w:t>
      </w:r>
      <w:r w:rsidRPr="002720C2">
        <w:rPr>
          <w:sz w:val="22"/>
          <w:lang w:val="en-GB"/>
        </w:rPr>
        <w:t xml:space="preserve"> </w:t>
      </w:r>
      <w:r w:rsidRPr="002720C2">
        <w:rPr>
          <w:rStyle w:val="hps"/>
          <w:sz w:val="22"/>
          <w:lang w:val="en-GB"/>
        </w:rPr>
        <w:t>partners</w:t>
      </w:r>
      <w:r w:rsidRPr="002720C2">
        <w:rPr>
          <w:sz w:val="22"/>
          <w:lang w:val="en-GB"/>
        </w:rPr>
        <w:t xml:space="preserve"> </w:t>
      </w:r>
      <w:r w:rsidRPr="002720C2">
        <w:rPr>
          <w:rStyle w:val="hps"/>
          <w:sz w:val="22"/>
          <w:lang w:val="en-GB"/>
        </w:rPr>
        <w:t>had no</w:t>
      </w:r>
      <w:r w:rsidRPr="002720C2">
        <w:rPr>
          <w:sz w:val="22"/>
          <w:lang w:val="en-GB"/>
        </w:rPr>
        <w:t xml:space="preserve"> </w:t>
      </w:r>
      <w:r w:rsidRPr="002720C2">
        <w:rPr>
          <w:rStyle w:val="hps"/>
          <w:sz w:val="22"/>
          <w:lang w:val="en-GB"/>
        </w:rPr>
        <w:t>queries regarding the subject of the meetings (</w:t>
      </w:r>
      <w:r w:rsidRPr="002720C2">
        <w:rPr>
          <w:sz w:val="22"/>
          <w:lang w:val="en-GB"/>
        </w:rPr>
        <w:t xml:space="preserve">i.e. the draft </w:t>
      </w:r>
      <w:r w:rsidRPr="002720C2">
        <w:rPr>
          <w:rStyle w:val="hps"/>
          <w:sz w:val="22"/>
          <w:lang w:val="en-GB"/>
        </w:rPr>
        <w:t>OP</w:t>
      </w:r>
      <w:r w:rsidRPr="002720C2">
        <w:rPr>
          <w:sz w:val="22"/>
          <w:lang w:val="en-GB"/>
        </w:rPr>
        <w:t xml:space="preserve">), it was </w:t>
      </w:r>
      <w:r w:rsidRPr="002720C2">
        <w:rPr>
          <w:rStyle w:val="hps"/>
          <w:sz w:val="22"/>
          <w:lang w:val="en-GB"/>
        </w:rPr>
        <w:t>not</w:t>
      </w:r>
      <w:r w:rsidRPr="002720C2">
        <w:rPr>
          <w:sz w:val="22"/>
          <w:lang w:val="en-GB"/>
        </w:rPr>
        <w:t xml:space="preserve"> </w:t>
      </w:r>
      <w:r w:rsidRPr="002720C2">
        <w:rPr>
          <w:rStyle w:val="hps"/>
          <w:sz w:val="22"/>
          <w:lang w:val="en-GB"/>
        </w:rPr>
        <w:t>clear to some of them</w:t>
      </w:r>
      <w:r w:rsidRPr="002720C2">
        <w:rPr>
          <w:sz w:val="22"/>
          <w:lang w:val="en-GB"/>
        </w:rPr>
        <w:t xml:space="preserve"> however, </w:t>
      </w:r>
      <w:r w:rsidRPr="002720C2">
        <w:rPr>
          <w:rStyle w:val="hps"/>
          <w:sz w:val="22"/>
          <w:lang w:val="en-GB"/>
        </w:rPr>
        <w:t>whether their proposed observations</w:t>
      </w:r>
      <w:r w:rsidRPr="002720C2">
        <w:rPr>
          <w:sz w:val="22"/>
          <w:lang w:val="en-GB"/>
        </w:rPr>
        <w:t xml:space="preserve"> </w:t>
      </w:r>
      <w:r w:rsidRPr="002720C2">
        <w:rPr>
          <w:rStyle w:val="hps"/>
          <w:sz w:val="22"/>
          <w:lang w:val="en-GB"/>
        </w:rPr>
        <w:t>were taken into consideration prior to submitting the draft OP</w:t>
      </w:r>
      <w:r w:rsidRPr="002720C2">
        <w:rPr>
          <w:sz w:val="22"/>
          <w:lang w:val="en-GB"/>
        </w:rPr>
        <w:t xml:space="preserve"> at </w:t>
      </w:r>
      <w:r w:rsidRPr="002720C2">
        <w:rPr>
          <w:rStyle w:val="hps"/>
          <w:sz w:val="22"/>
          <w:lang w:val="en-GB"/>
        </w:rPr>
        <w:t>informal</w:t>
      </w:r>
      <w:r w:rsidRPr="002720C2">
        <w:rPr>
          <w:sz w:val="22"/>
          <w:lang w:val="en-GB"/>
        </w:rPr>
        <w:t xml:space="preserve"> </w:t>
      </w:r>
      <w:r w:rsidRPr="002720C2">
        <w:rPr>
          <w:rStyle w:val="hps"/>
          <w:sz w:val="22"/>
          <w:lang w:val="en-GB"/>
        </w:rPr>
        <w:t>consultations</w:t>
      </w:r>
      <w:r w:rsidRPr="002720C2">
        <w:rPr>
          <w:sz w:val="22"/>
          <w:lang w:val="en-GB"/>
        </w:rPr>
        <w:t xml:space="preserve"> </w:t>
      </w:r>
      <w:r w:rsidRPr="002720C2">
        <w:rPr>
          <w:rStyle w:val="hps"/>
          <w:sz w:val="22"/>
          <w:lang w:val="en-GB"/>
        </w:rPr>
        <w:t>with the European</w:t>
      </w:r>
      <w:r w:rsidRPr="002720C2">
        <w:rPr>
          <w:sz w:val="22"/>
          <w:lang w:val="en-GB"/>
        </w:rPr>
        <w:t xml:space="preserve"> </w:t>
      </w:r>
      <w:r w:rsidRPr="002720C2">
        <w:rPr>
          <w:rStyle w:val="hps"/>
          <w:sz w:val="22"/>
          <w:lang w:val="en-GB"/>
        </w:rPr>
        <w:t>Commission.</w:t>
      </w:r>
      <w:r w:rsidRPr="002720C2">
        <w:rPr>
          <w:sz w:val="22"/>
          <w:lang w:val="en-GB"/>
        </w:rPr>
        <w:t xml:space="preserve"> </w:t>
      </w:r>
      <w:r w:rsidRPr="002720C2">
        <w:rPr>
          <w:rStyle w:val="hps"/>
          <w:sz w:val="22"/>
          <w:lang w:val="en-GB"/>
        </w:rPr>
        <w:t>This</w:t>
      </w:r>
      <w:r w:rsidRPr="002720C2">
        <w:rPr>
          <w:sz w:val="22"/>
          <w:lang w:val="en-GB"/>
        </w:rPr>
        <w:t xml:space="preserve"> </w:t>
      </w:r>
      <w:r w:rsidRPr="002720C2">
        <w:rPr>
          <w:rStyle w:val="hps"/>
          <w:sz w:val="22"/>
          <w:lang w:val="en-GB"/>
        </w:rPr>
        <w:t>information was provided to</w:t>
      </w:r>
      <w:r w:rsidRPr="002720C2">
        <w:rPr>
          <w:sz w:val="22"/>
          <w:lang w:val="en-GB"/>
        </w:rPr>
        <w:t xml:space="preserve"> </w:t>
      </w:r>
      <w:r w:rsidRPr="002720C2">
        <w:rPr>
          <w:rStyle w:val="hps"/>
          <w:sz w:val="22"/>
          <w:lang w:val="en-GB"/>
        </w:rPr>
        <w:lastRenderedPageBreak/>
        <w:t>members of</w:t>
      </w:r>
      <w:r w:rsidRPr="002720C2">
        <w:rPr>
          <w:sz w:val="22"/>
          <w:lang w:val="en-GB"/>
        </w:rPr>
        <w:t xml:space="preserve"> </w:t>
      </w:r>
      <w:r w:rsidRPr="002720C2">
        <w:rPr>
          <w:rStyle w:val="hps"/>
          <w:sz w:val="22"/>
          <w:lang w:val="en-GB"/>
        </w:rPr>
        <w:t>the Monitoring Committee</w:t>
      </w:r>
      <w:r w:rsidRPr="002720C2">
        <w:rPr>
          <w:sz w:val="22"/>
          <w:lang w:val="en-GB"/>
        </w:rPr>
        <w:t xml:space="preserve"> when the </w:t>
      </w:r>
      <w:r w:rsidRPr="002720C2">
        <w:rPr>
          <w:rStyle w:val="hps"/>
          <w:sz w:val="22"/>
          <w:lang w:val="en-GB"/>
        </w:rPr>
        <w:t>protocol was prepared</w:t>
      </w:r>
      <w:r w:rsidRPr="002720C2">
        <w:rPr>
          <w:sz w:val="22"/>
          <w:lang w:val="en-GB"/>
        </w:rPr>
        <w:t xml:space="preserve">, but </w:t>
      </w:r>
      <w:r w:rsidRPr="002720C2">
        <w:rPr>
          <w:rStyle w:val="hps"/>
          <w:sz w:val="22"/>
          <w:lang w:val="en-GB"/>
        </w:rPr>
        <w:t>it was not</w:t>
      </w:r>
      <w:r w:rsidRPr="002720C2">
        <w:rPr>
          <w:sz w:val="22"/>
          <w:lang w:val="en-GB"/>
        </w:rPr>
        <w:t xml:space="preserve"> </w:t>
      </w:r>
      <w:r w:rsidRPr="002720C2">
        <w:rPr>
          <w:rStyle w:val="hps"/>
          <w:sz w:val="22"/>
          <w:lang w:val="en-GB"/>
        </w:rPr>
        <w:t>sent out to</w:t>
      </w:r>
      <w:r w:rsidRPr="002720C2">
        <w:rPr>
          <w:sz w:val="22"/>
          <w:lang w:val="en-GB"/>
        </w:rPr>
        <w:t xml:space="preserve"> </w:t>
      </w:r>
      <w:r w:rsidRPr="002720C2">
        <w:rPr>
          <w:rStyle w:val="hps"/>
          <w:sz w:val="22"/>
          <w:lang w:val="en-GB"/>
        </w:rPr>
        <w:t>municipalities</w:t>
      </w:r>
      <w:r w:rsidRPr="002720C2">
        <w:rPr>
          <w:sz w:val="22"/>
          <w:lang w:val="en-GB"/>
        </w:rPr>
        <w:t xml:space="preserve"> </w:t>
      </w:r>
      <w:r w:rsidRPr="002720C2">
        <w:rPr>
          <w:rStyle w:val="hps"/>
          <w:sz w:val="22"/>
          <w:lang w:val="en-GB"/>
        </w:rPr>
        <w:t>or made public.</w:t>
      </w:r>
      <w:r w:rsidRPr="002720C2">
        <w:rPr>
          <w:sz w:val="22"/>
          <w:lang w:val="en-GB"/>
        </w:rPr>
        <w:t xml:space="preserve"> </w:t>
      </w:r>
      <w:r w:rsidRPr="002720C2">
        <w:rPr>
          <w:rStyle w:val="hps"/>
          <w:sz w:val="22"/>
          <w:lang w:val="en-GB"/>
        </w:rPr>
        <w:t>Since</w:t>
      </w:r>
      <w:r w:rsidRPr="002720C2">
        <w:rPr>
          <w:sz w:val="22"/>
          <w:lang w:val="en-GB"/>
        </w:rPr>
        <w:t xml:space="preserve"> </w:t>
      </w:r>
      <w:r w:rsidRPr="002720C2">
        <w:rPr>
          <w:rStyle w:val="hps"/>
          <w:sz w:val="22"/>
          <w:lang w:val="en-GB"/>
        </w:rPr>
        <w:t xml:space="preserve">the </w:t>
      </w:r>
      <w:r w:rsidR="007E0B22">
        <w:rPr>
          <w:rStyle w:val="hps"/>
          <w:sz w:val="22"/>
          <w:lang w:val="en-GB"/>
        </w:rPr>
        <w:t xml:space="preserve">relevant </w:t>
      </w:r>
      <w:r w:rsidRPr="002720C2">
        <w:rPr>
          <w:rStyle w:val="hps"/>
          <w:sz w:val="22"/>
          <w:lang w:val="en-GB"/>
        </w:rPr>
        <w:t>draft OP</w:t>
      </w:r>
      <w:r w:rsidRPr="002720C2">
        <w:rPr>
          <w:sz w:val="22"/>
          <w:lang w:val="en-GB"/>
        </w:rPr>
        <w:t xml:space="preserve"> </w:t>
      </w:r>
      <w:r w:rsidR="007E0B22">
        <w:rPr>
          <w:rStyle w:val="hps"/>
          <w:sz w:val="22"/>
          <w:lang w:val="en-GB"/>
        </w:rPr>
        <w:t>was</w:t>
      </w:r>
      <w:r w:rsidRPr="002720C2">
        <w:rPr>
          <w:rStyle w:val="hps"/>
          <w:sz w:val="22"/>
          <w:lang w:val="en-GB"/>
        </w:rPr>
        <w:t xml:space="preserve"> not</w:t>
      </w:r>
      <w:r w:rsidRPr="002720C2">
        <w:rPr>
          <w:sz w:val="22"/>
          <w:lang w:val="en-GB"/>
        </w:rPr>
        <w:t xml:space="preserve"> publicly </w:t>
      </w:r>
      <w:r w:rsidRPr="002720C2">
        <w:rPr>
          <w:rStyle w:val="hps"/>
          <w:sz w:val="22"/>
          <w:lang w:val="en-GB"/>
        </w:rPr>
        <w:t>available</w:t>
      </w:r>
      <w:r w:rsidR="007E0B22">
        <w:rPr>
          <w:sz w:val="22"/>
          <w:lang w:val="en-GB"/>
        </w:rPr>
        <w:t>, partners were</w:t>
      </w:r>
      <w:r w:rsidRPr="002720C2">
        <w:rPr>
          <w:sz w:val="22"/>
          <w:lang w:val="en-GB"/>
        </w:rPr>
        <w:t xml:space="preserve"> </w:t>
      </w:r>
      <w:r w:rsidRPr="002720C2">
        <w:rPr>
          <w:rStyle w:val="hps"/>
          <w:sz w:val="22"/>
          <w:lang w:val="en-GB"/>
        </w:rPr>
        <w:t xml:space="preserve">uncertain </w:t>
      </w:r>
      <w:r w:rsidR="007E0B22">
        <w:rPr>
          <w:rStyle w:val="hps"/>
          <w:sz w:val="22"/>
          <w:lang w:val="en-GB"/>
        </w:rPr>
        <w:t>about</w:t>
      </w:r>
      <w:r w:rsidRPr="002720C2">
        <w:rPr>
          <w:rStyle w:val="hps"/>
          <w:sz w:val="22"/>
          <w:lang w:val="en-GB"/>
        </w:rPr>
        <w:t xml:space="preserve"> the OP preparation process and</w:t>
      </w:r>
      <w:r w:rsidRPr="002720C2">
        <w:rPr>
          <w:sz w:val="22"/>
          <w:lang w:val="en-GB"/>
        </w:rPr>
        <w:t xml:space="preserve"> </w:t>
      </w:r>
      <w:r w:rsidRPr="002720C2">
        <w:rPr>
          <w:rStyle w:val="hps"/>
          <w:sz w:val="22"/>
          <w:lang w:val="en-GB"/>
        </w:rPr>
        <w:t>opportunities</w:t>
      </w:r>
      <w:r w:rsidRPr="002720C2">
        <w:rPr>
          <w:sz w:val="22"/>
          <w:lang w:val="en-GB"/>
        </w:rPr>
        <w:t xml:space="preserve"> </w:t>
      </w:r>
      <w:r w:rsidRPr="002720C2">
        <w:rPr>
          <w:rStyle w:val="hps"/>
          <w:sz w:val="22"/>
          <w:lang w:val="en-GB"/>
        </w:rPr>
        <w:t>to participate in it</w:t>
      </w:r>
      <w:r w:rsidR="001F16BC" w:rsidRPr="002720C2">
        <w:rPr>
          <w:rFonts w:eastAsia="Times New Roman" w:cs="Times New Roman"/>
          <w:sz w:val="22"/>
          <w:lang w:val="en-GB"/>
        </w:rPr>
        <w:t xml:space="preserve">. </w:t>
      </w:r>
    </w:p>
    <w:tbl>
      <w:tblPr>
        <w:tblStyle w:val="VPVILentele1"/>
        <w:tblW w:w="0" w:type="auto"/>
        <w:tblInd w:w="817" w:type="dxa"/>
        <w:tblLook w:val="04A0" w:firstRow="1" w:lastRow="0" w:firstColumn="1" w:lastColumn="0" w:noHBand="0" w:noVBand="1"/>
      </w:tblPr>
      <w:tblGrid>
        <w:gridCol w:w="9356"/>
      </w:tblGrid>
      <w:tr w:rsidR="006C5B5C" w:rsidRPr="002720C2" w:rsidTr="00FB7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tcPr>
          <w:p w:rsidR="006C5B5C" w:rsidRPr="002720C2" w:rsidRDefault="007C1273" w:rsidP="00AB2950">
            <w:pPr>
              <w:spacing w:before="100" w:beforeAutospacing="1" w:after="100" w:afterAutospacing="1"/>
              <w:jc w:val="both"/>
              <w:rPr>
                <w:lang w:val="en-GB"/>
              </w:rPr>
            </w:pPr>
            <w:r w:rsidRPr="002720C2">
              <w:rPr>
                <w:lang w:val="en-GB"/>
              </w:rPr>
              <w:t>Taken into account</w:t>
            </w:r>
          </w:p>
        </w:tc>
      </w:tr>
      <w:tr w:rsidR="006C5B5C" w:rsidRPr="002720C2" w:rsidTr="00FB7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rsidR="006C5B5C" w:rsidRPr="002720C2" w:rsidRDefault="0020312F" w:rsidP="00176B8B">
            <w:pPr>
              <w:spacing w:before="100" w:beforeAutospacing="1" w:after="100" w:afterAutospacing="1"/>
              <w:jc w:val="both"/>
              <w:rPr>
                <w:rFonts w:eastAsia="Times New Roman" w:cs="Times New Roman"/>
                <w:sz w:val="22"/>
                <w:lang w:val="en-GB"/>
              </w:rPr>
            </w:pPr>
            <w:r w:rsidRPr="002720C2">
              <w:rPr>
                <w:b/>
                <w:sz w:val="22"/>
                <w:lang w:val="en-GB"/>
              </w:rPr>
              <w:t>R</w:t>
            </w:r>
            <w:r w:rsidR="00AC54B3" w:rsidRPr="002720C2">
              <w:rPr>
                <w:rFonts w:eastAsia="Times New Roman" w:cs="Times New Roman"/>
                <w:b/>
                <w:sz w:val="22"/>
                <w:lang w:val="en-GB"/>
              </w:rPr>
              <w:t>ecommendation</w:t>
            </w:r>
            <w:r w:rsidR="002B2434">
              <w:rPr>
                <w:rFonts w:eastAsia="Times New Roman" w:cs="Times New Roman"/>
                <w:b/>
                <w:sz w:val="22"/>
                <w:lang w:val="en-GB"/>
              </w:rPr>
              <w:t xml:space="preserve"> 8</w:t>
            </w:r>
            <w:r w:rsidR="00AC54B3" w:rsidRPr="002720C2">
              <w:rPr>
                <w:rFonts w:eastAsia="Times New Roman" w:cs="Times New Roman"/>
                <w:b/>
                <w:sz w:val="22"/>
                <w:lang w:val="en-GB"/>
              </w:rPr>
              <w:t>.</w:t>
            </w:r>
            <w:r w:rsidR="00AC54B3" w:rsidRPr="002720C2">
              <w:rPr>
                <w:rFonts w:eastAsia="Times New Roman" w:cs="Times New Roman"/>
                <w:sz w:val="22"/>
                <w:lang w:val="en-GB"/>
              </w:rPr>
              <w:t xml:space="preserve"> Ensure access for all </w:t>
            </w:r>
            <w:r w:rsidR="00BC7E48" w:rsidRPr="002720C2">
              <w:rPr>
                <w:rFonts w:eastAsia="Times New Roman" w:cs="Times New Roman"/>
                <w:sz w:val="22"/>
                <w:lang w:val="en-GB"/>
              </w:rPr>
              <w:t xml:space="preserve">stakeholders to the results of public consultations by providing a summary of </w:t>
            </w:r>
            <w:r w:rsidR="00AC54B3" w:rsidRPr="002720C2">
              <w:rPr>
                <w:rFonts w:eastAsia="Times New Roman" w:cs="Times New Roman"/>
                <w:sz w:val="22"/>
                <w:lang w:val="en-GB"/>
              </w:rPr>
              <w:t>partners</w:t>
            </w:r>
            <w:r w:rsidR="00BC7E48" w:rsidRPr="002720C2">
              <w:rPr>
                <w:rFonts w:eastAsia="Times New Roman" w:cs="Times New Roman"/>
                <w:sz w:val="22"/>
                <w:lang w:val="en-GB"/>
              </w:rPr>
              <w:t>’ proposals</w:t>
            </w:r>
            <w:r w:rsidR="00AC54B3" w:rsidRPr="002720C2">
              <w:rPr>
                <w:rFonts w:eastAsia="Times New Roman" w:cs="Times New Roman"/>
                <w:sz w:val="22"/>
                <w:lang w:val="en-GB"/>
              </w:rPr>
              <w:t xml:space="preserve"> and information </w:t>
            </w:r>
            <w:r w:rsidR="00886C82" w:rsidRPr="002720C2">
              <w:rPr>
                <w:rFonts w:eastAsia="Times New Roman" w:cs="Times New Roman"/>
                <w:sz w:val="22"/>
                <w:lang w:val="en-GB"/>
              </w:rPr>
              <w:t>as to</w:t>
            </w:r>
            <w:r w:rsidR="00AC54B3" w:rsidRPr="002720C2">
              <w:rPr>
                <w:rFonts w:eastAsia="Times New Roman" w:cs="Times New Roman"/>
                <w:sz w:val="22"/>
                <w:lang w:val="en-GB"/>
              </w:rPr>
              <w:t xml:space="preserve"> </w:t>
            </w:r>
            <w:r w:rsidR="00886C82" w:rsidRPr="002720C2">
              <w:rPr>
                <w:rFonts w:eastAsia="Times New Roman" w:cs="Times New Roman"/>
                <w:sz w:val="22"/>
                <w:lang w:val="en-GB"/>
              </w:rPr>
              <w:t xml:space="preserve">how </w:t>
            </w:r>
            <w:r w:rsidR="00AC54B3" w:rsidRPr="002720C2">
              <w:rPr>
                <w:rFonts w:eastAsia="Times New Roman" w:cs="Times New Roman"/>
                <w:sz w:val="22"/>
                <w:lang w:val="en-GB"/>
              </w:rPr>
              <w:t xml:space="preserve">the comments and </w:t>
            </w:r>
            <w:r w:rsidR="00886C82" w:rsidRPr="002720C2">
              <w:rPr>
                <w:rFonts w:eastAsia="Times New Roman" w:cs="Times New Roman"/>
                <w:sz w:val="22"/>
                <w:lang w:val="en-GB"/>
              </w:rPr>
              <w:t xml:space="preserve">proposals </w:t>
            </w:r>
            <w:r w:rsidR="00886C82" w:rsidRPr="002720C2">
              <w:rPr>
                <w:rStyle w:val="hps"/>
                <w:sz w:val="22"/>
                <w:lang w:val="en-GB"/>
              </w:rPr>
              <w:t>were taken into consideration</w:t>
            </w:r>
            <w:r w:rsidR="00AC54B3" w:rsidRPr="002720C2">
              <w:rPr>
                <w:rFonts w:eastAsia="Times New Roman" w:cs="Times New Roman"/>
                <w:sz w:val="22"/>
                <w:lang w:val="en-GB"/>
              </w:rPr>
              <w:t xml:space="preserve">. </w:t>
            </w:r>
          </w:p>
        </w:tc>
      </w:tr>
    </w:tbl>
    <w:p w:rsidR="003865C6" w:rsidRPr="002720C2" w:rsidRDefault="003865C6" w:rsidP="006C5B5C">
      <w:pPr>
        <w:pStyle w:val="Text"/>
        <w:ind w:left="0"/>
        <w:rPr>
          <w:noProof w:val="0"/>
          <w:lang w:val="en-GB"/>
        </w:rPr>
      </w:pPr>
    </w:p>
    <w:p w:rsidR="00AB2950" w:rsidRDefault="00F60E4C" w:rsidP="00AF1C3D">
      <w:pPr>
        <w:pStyle w:val="Heading2"/>
        <w:numPr>
          <w:ilvl w:val="0"/>
          <w:numId w:val="0"/>
        </w:numPr>
        <w:ind w:left="680" w:hanging="680"/>
        <w:rPr>
          <w:rStyle w:val="Heading1Char"/>
          <w:lang w:val="en-GB"/>
        </w:rPr>
      </w:pPr>
      <w:r w:rsidRPr="002720C2">
        <w:rPr>
          <w:rStyle w:val="Heading1Char"/>
          <w:lang w:val="en-GB"/>
        </w:rPr>
        <w:t xml:space="preserve">      </w:t>
      </w:r>
    </w:p>
    <w:p w:rsidR="00AB2950" w:rsidRDefault="00AB2950">
      <w:pPr>
        <w:spacing w:after="200"/>
        <w:rPr>
          <w:rStyle w:val="Heading1Char"/>
          <w:caps w:val="0"/>
          <w:lang w:val="en-GB"/>
        </w:rPr>
      </w:pPr>
      <w:r>
        <w:rPr>
          <w:rStyle w:val="Heading1Char"/>
          <w:lang w:val="en-GB"/>
        </w:rPr>
        <w:br w:type="page"/>
      </w:r>
    </w:p>
    <w:p w:rsidR="00A52582" w:rsidRPr="002720C2" w:rsidRDefault="00F60E4C" w:rsidP="00AF1C3D">
      <w:pPr>
        <w:pStyle w:val="Heading2"/>
        <w:numPr>
          <w:ilvl w:val="0"/>
          <w:numId w:val="0"/>
        </w:numPr>
        <w:ind w:left="680" w:hanging="680"/>
        <w:rPr>
          <w:rStyle w:val="Heading1Char"/>
          <w:lang w:val="en-GB"/>
        </w:rPr>
      </w:pPr>
      <w:r w:rsidRPr="002720C2">
        <w:rPr>
          <w:rStyle w:val="Heading1Char"/>
          <w:lang w:val="en-GB"/>
        </w:rPr>
        <w:lastRenderedPageBreak/>
        <w:t xml:space="preserve"> </w:t>
      </w:r>
      <w:bookmarkStart w:id="6" w:name="_Toc396222430"/>
      <w:r w:rsidR="00A52582" w:rsidRPr="002720C2">
        <w:rPr>
          <w:rStyle w:val="Heading1Char"/>
          <w:lang w:val="en-GB"/>
        </w:rPr>
        <w:t>P</w:t>
      </w:r>
      <w:r w:rsidRPr="002720C2">
        <w:rPr>
          <w:rStyle w:val="Heading1Char"/>
          <w:lang w:val="en-GB"/>
        </w:rPr>
        <w:t xml:space="preserve">ROPOSALS </w:t>
      </w:r>
      <w:r w:rsidR="007E0B22">
        <w:rPr>
          <w:rStyle w:val="Heading1Char"/>
          <w:lang w:val="en-GB"/>
        </w:rPr>
        <w:t>FOR</w:t>
      </w:r>
      <w:r w:rsidRPr="002720C2">
        <w:rPr>
          <w:rStyle w:val="Heading1Char"/>
          <w:lang w:val="en-GB"/>
        </w:rPr>
        <w:t xml:space="preserve"> IMPROVEMENT OF THE OPERATIONAL PROGRAMME</w:t>
      </w:r>
      <w:bookmarkEnd w:id="6"/>
    </w:p>
    <w:p w:rsidR="00AC54B3" w:rsidRPr="002720C2" w:rsidRDefault="009C02E7" w:rsidP="00D01361">
      <w:pPr>
        <w:spacing w:before="100" w:beforeAutospacing="1" w:after="100" w:afterAutospacing="1" w:line="240" w:lineRule="auto"/>
        <w:ind w:left="709" w:hanging="349"/>
        <w:jc w:val="both"/>
        <w:rPr>
          <w:rFonts w:eastAsia="Times New Roman" w:cs="Times New Roman"/>
          <w:bCs/>
          <w:szCs w:val="24"/>
          <w:lang w:val="en-GB"/>
        </w:rPr>
      </w:pPr>
      <w:r w:rsidRPr="002720C2">
        <w:rPr>
          <w:rFonts w:eastAsia="Times New Roman" w:cs="Times New Roman"/>
          <w:color w:val="036474"/>
          <w:szCs w:val="24"/>
          <w:lang w:val="en-GB"/>
        </w:rPr>
        <w:t xml:space="preserve">9. </w:t>
      </w:r>
      <w:r w:rsidR="00D01361" w:rsidRPr="002720C2">
        <w:rPr>
          <w:rFonts w:eastAsia="Times New Roman" w:cs="Times New Roman"/>
          <w:color w:val="036474"/>
          <w:szCs w:val="24"/>
          <w:lang w:val="en-GB"/>
        </w:rPr>
        <w:t xml:space="preserve"> </w:t>
      </w:r>
      <w:r w:rsidR="00755E9B" w:rsidRPr="002720C2">
        <w:rPr>
          <w:rFonts w:asciiTheme="majorHAnsi" w:eastAsia="Times New Roman" w:hAnsiTheme="majorHAnsi" w:cs="Times New Roman"/>
          <w:bCs/>
          <w:color w:val="175F6E"/>
          <w:szCs w:val="24"/>
          <w:lang w:val="en-GB"/>
        </w:rPr>
        <w:t xml:space="preserve">How could the content of the draft </w:t>
      </w:r>
      <w:r w:rsidR="00755E9B" w:rsidRPr="002720C2">
        <w:rPr>
          <w:rFonts w:asciiTheme="majorHAnsi" w:eastAsia="Times New Roman" w:hAnsiTheme="majorHAnsi"/>
          <w:bCs/>
          <w:color w:val="175F6E"/>
          <w:szCs w:val="24"/>
          <w:lang w:val="en-GB"/>
        </w:rPr>
        <w:t>operational programme</w:t>
      </w:r>
      <w:r w:rsidR="00755E9B" w:rsidRPr="002720C2">
        <w:rPr>
          <w:rFonts w:asciiTheme="majorHAnsi" w:eastAsia="Times New Roman" w:hAnsiTheme="majorHAnsi" w:cs="Times New Roman"/>
          <w:bCs/>
          <w:color w:val="175F6E"/>
          <w:szCs w:val="24"/>
          <w:lang w:val="en-GB"/>
        </w:rPr>
        <w:t xml:space="preserve"> be improved and what </w:t>
      </w:r>
      <w:r w:rsidR="00755E9B" w:rsidRPr="002720C2">
        <w:rPr>
          <w:rFonts w:asciiTheme="majorHAnsi" w:eastAsia="Times New Roman" w:hAnsiTheme="majorHAnsi"/>
          <w:bCs/>
          <w:color w:val="175F6E"/>
          <w:szCs w:val="24"/>
          <w:lang w:val="en-GB"/>
        </w:rPr>
        <w:t>accompanying</w:t>
      </w:r>
      <w:r w:rsidR="00755E9B" w:rsidRPr="002720C2">
        <w:rPr>
          <w:rFonts w:asciiTheme="majorHAnsi" w:eastAsia="Times New Roman" w:hAnsiTheme="majorHAnsi" w:cs="Times New Roman"/>
          <w:bCs/>
          <w:color w:val="175F6E"/>
          <w:szCs w:val="24"/>
          <w:lang w:val="en-GB"/>
        </w:rPr>
        <w:t xml:space="preserve"> measures must be taken having regard to the flaws of the draft </w:t>
      </w:r>
      <w:r w:rsidR="00755E9B" w:rsidRPr="002720C2">
        <w:rPr>
          <w:rFonts w:asciiTheme="majorHAnsi" w:eastAsia="Times New Roman" w:hAnsiTheme="majorHAnsi"/>
          <w:bCs/>
          <w:color w:val="175F6E"/>
          <w:szCs w:val="24"/>
          <w:lang w:val="en-GB"/>
        </w:rPr>
        <w:t>operational programme</w:t>
      </w:r>
      <w:r w:rsidR="00755E9B" w:rsidRPr="002720C2">
        <w:rPr>
          <w:rFonts w:asciiTheme="majorHAnsi" w:eastAsia="Times New Roman" w:hAnsiTheme="majorHAnsi" w:cs="Times New Roman"/>
          <w:bCs/>
          <w:color w:val="175F6E"/>
          <w:szCs w:val="24"/>
          <w:lang w:val="en-GB"/>
        </w:rPr>
        <w:t xml:space="preserve"> identified during the ex ante evaluation</w:t>
      </w:r>
      <w:r w:rsidR="00AC54B3" w:rsidRPr="002720C2">
        <w:rPr>
          <w:rFonts w:eastAsia="Times New Roman" w:cs="Times New Roman"/>
          <w:color w:val="175F6E"/>
          <w:szCs w:val="24"/>
          <w:lang w:val="en-GB"/>
        </w:rPr>
        <w:t>?</w:t>
      </w:r>
      <w:r w:rsidR="00AF1C3D" w:rsidRPr="002720C2">
        <w:rPr>
          <w:rFonts w:asciiTheme="majorHAnsi" w:hAnsiTheme="majorHAnsi"/>
          <w:color w:val="036575" w:themeColor="accent5" w:themeTint="E6"/>
          <w:szCs w:val="24"/>
          <w:lang w:val="en-GB"/>
        </w:rPr>
        <w:t xml:space="preserve"> </w:t>
      </w:r>
    </w:p>
    <w:p w:rsidR="00D51B55" w:rsidRPr="002720C2" w:rsidRDefault="00D51B55" w:rsidP="00D51B55">
      <w:pPr>
        <w:pStyle w:val="ListParagraph"/>
        <w:spacing w:before="100" w:beforeAutospacing="1" w:after="100" w:afterAutospacing="1"/>
        <w:ind w:left="720"/>
        <w:jc w:val="both"/>
        <w:rPr>
          <w:rFonts w:eastAsia="Times New Roman" w:cs="Times New Roman"/>
          <w:sz w:val="22"/>
          <w:lang w:val="en-GB"/>
        </w:rPr>
      </w:pPr>
      <w:r w:rsidRPr="002720C2">
        <w:rPr>
          <w:rFonts w:eastAsia="Times New Roman" w:cs="Times New Roman"/>
          <w:sz w:val="22"/>
          <w:lang w:val="en-GB"/>
        </w:rPr>
        <w:t xml:space="preserve">The ex-ante evaluation has shown that the prepared draft OP is </w:t>
      </w:r>
      <w:proofErr w:type="spellStart"/>
      <w:r w:rsidR="007E0B22">
        <w:rPr>
          <w:rFonts w:eastAsia="Times New Roman" w:cs="Times New Roman"/>
          <w:sz w:val="22"/>
        </w:rPr>
        <w:t>commonly</w:t>
      </w:r>
      <w:proofErr w:type="spellEnd"/>
      <w:r w:rsidRPr="002720C2">
        <w:rPr>
          <w:rFonts w:eastAsia="Times New Roman" w:cs="Times New Roman"/>
          <w:sz w:val="22"/>
          <w:lang w:val="en-GB"/>
        </w:rPr>
        <w:t xml:space="preserve"> in line with the requirements of the Regulation for OP I operational programmes, but in order to improve the intervention logic, the following main areas of improvement of the draft OP are recommended: </w:t>
      </w:r>
    </w:p>
    <w:p w:rsidR="002B2434" w:rsidRPr="002B2434" w:rsidRDefault="000E3AC4" w:rsidP="007E0B22">
      <w:pPr>
        <w:numPr>
          <w:ilvl w:val="1"/>
          <w:numId w:val="25"/>
        </w:numPr>
        <w:spacing w:before="100" w:beforeAutospacing="1" w:after="120"/>
        <w:jc w:val="both"/>
        <w:rPr>
          <w:rFonts w:eastAsia="Times New Roman" w:cs="Times New Roman"/>
          <w:bCs/>
          <w:sz w:val="22"/>
          <w:lang w:val="en-GB"/>
        </w:rPr>
      </w:pPr>
      <w:r>
        <w:rPr>
          <w:rStyle w:val="hps"/>
          <w:sz w:val="22"/>
          <w:lang w:val="en-GB"/>
        </w:rPr>
        <w:t xml:space="preserve">In the context of </w:t>
      </w:r>
      <w:r w:rsidRPr="002720C2">
        <w:rPr>
          <w:rStyle w:val="hps"/>
          <w:sz w:val="22"/>
          <w:lang w:val="en-GB"/>
        </w:rPr>
        <w:t>the 2020 Europe strategy</w:t>
      </w:r>
      <w:r>
        <w:rPr>
          <w:rStyle w:val="hps"/>
          <w:sz w:val="22"/>
          <w:lang w:val="en-GB"/>
        </w:rPr>
        <w:t>,</w:t>
      </w:r>
      <w:r w:rsidRPr="002720C2">
        <w:rPr>
          <w:sz w:val="22"/>
          <w:lang w:val="en-GB"/>
        </w:rPr>
        <w:t xml:space="preserve"> </w:t>
      </w:r>
      <w:r w:rsidR="00D51B55" w:rsidRPr="002720C2">
        <w:rPr>
          <w:rStyle w:val="hps"/>
          <w:sz w:val="22"/>
          <w:lang w:val="en-GB"/>
        </w:rPr>
        <w:t xml:space="preserve">to present the contribution of the </w:t>
      </w:r>
      <w:r>
        <w:rPr>
          <w:rStyle w:val="hps"/>
          <w:sz w:val="22"/>
          <w:lang w:val="en-GB"/>
        </w:rPr>
        <w:t xml:space="preserve">Fund-supported </w:t>
      </w:r>
      <w:r w:rsidR="00D51B55" w:rsidRPr="002720C2">
        <w:rPr>
          <w:rStyle w:val="hps"/>
          <w:sz w:val="22"/>
          <w:lang w:val="en-GB"/>
        </w:rPr>
        <w:t xml:space="preserve">activities and </w:t>
      </w:r>
      <w:r w:rsidRPr="002720C2">
        <w:rPr>
          <w:rStyle w:val="hps"/>
          <w:sz w:val="22"/>
          <w:lang w:val="en-GB"/>
        </w:rPr>
        <w:t>results</w:t>
      </w:r>
      <w:r w:rsidRPr="002720C2">
        <w:rPr>
          <w:sz w:val="22"/>
          <w:lang w:val="en-GB"/>
        </w:rPr>
        <w:t xml:space="preserve"> </w:t>
      </w:r>
      <w:r w:rsidR="00D51B55" w:rsidRPr="002720C2">
        <w:rPr>
          <w:rStyle w:val="hps"/>
          <w:sz w:val="22"/>
          <w:lang w:val="en-GB"/>
        </w:rPr>
        <w:t xml:space="preserve">as an </w:t>
      </w:r>
      <w:r w:rsidR="00D51B55" w:rsidRPr="002720C2">
        <w:rPr>
          <w:sz w:val="22"/>
          <w:lang w:val="en-GB"/>
        </w:rPr>
        <w:t xml:space="preserve">additional </w:t>
      </w:r>
      <w:r w:rsidR="00D51B55" w:rsidRPr="002720C2">
        <w:rPr>
          <w:rStyle w:val="hps"/>
          <w:sz w:val="22"/>
          <w:lang w:val="en-GB"/>
        </w:rPr>
        <w:t>accompanying measure for reduction of poverty</w:t>
      </w:r>
      <w:r w:rsidR="00D51B55" w:rsidRPr="002720C2">
        <w:rPr>
          <w:sz w:val="22"/>
          <w:lang w:val="en-GB"/>
        </w:rPr>
        <w:t xml:space="preserve"> </w:t>
      </w:r>
      <w:r w:rsidR="00D51B55" w:rsidRPr="002720C2">
        <w:rPr>
          <w:rStyle w:val="hps"/>
          <w:sz w:val="22"/>
          <w:lang w:val="en-GB"/>
        </w:rPr>
        <w:t>and social</w:t>
      </w:r>
      <w:r w:rsidR="00D51B55" w:rsidRPr="002720C2">
        <w:rPr>
          <w:sz w:val="22"/>
          <w:lang w:val="en-GB"/>
        </w:rPr>
        <w:t xml:space="preserve"> </w:t>
      </w:r>
      <w:r w:rsidR="00D51B55" w:rsidRPr="002720C2">
        <w:rPr>
          <w:rStyle w:val="hps"/>
          <w:sz w:val="22"/>
          <w:lang w:val="en-GB"/>
        </w:rPr>
        <w:t>exclusion, which</w:t>
      </w:r>
      <w:r w:rsidR="00D51B55" w:rsidRPr="002720C2">
        <w:rPr>
          <w:sz w:val="22"/>
          <w:lang w:val="en-GB"/>
        </w:rPr>
        <w:t xml:space="preserve"> </w:t>
      </w:r>
      <w:r w:rsidR="00D51B55" w:rsidRPr="002720C2">
        <w:rPr>
          <w:rStyle w:val="hps"/>
          <w:sz w:val="22"/>
          <w:lang w:val="en-GB"/>
        </w:rPr>
        <w:t>can only partially</w:t>
      </w:r>
      <w:r w:rsidR="00D51B55" w:rsidRPr="002720C2">
        <w:rPr>
          <w:sz w:val="22"/>
          <w:lang w:val="en-GB"/>
        </w:rPr>
        <w:t xml:space="preserve"> alleviate the situation of persons suffering severe material deprivation; other EU and national programme interventions will have </w:t>
      </w:r>
      <w:r w:rsidR="00D51B55" w:rsidRPr="002720C2">
        <w:rPr>
          <w:rFonts w:eastAsia="Times New Roman" w:cs="Times New Roman"/>
          <w:bCs/>
          <w:sz w:val="22"/>
          <w:lang w:val="en-GB"/>
        </w:rPr>
        <w:t xml:space="preserve">the greatest effect in achieving </w:t>
      </w:r>
      <w:r w:rsidR="00D51B55" w:rsidRPr="002720C2">
        <w:rPr>
          <w:rFonts w:asciiTheme="minorHAnsi" w:eastAsia="Times New Roman" w:hAnsiTheme="minorHAnsi" w:cs="Times New Roman"/>
          <w:sz w:val="22"/>
          <w:lang w:val="en-GB"/>
        </w:rPr>
        <w:t>the Europe 2020 strategy’s objective of reducing the number of people in or at risk of poverty</w:t>
      </w:r>
      <w:r w:rsidR="00D51B55" w:rsidRPr="002720C2">
        <w:rPr>
          <w:rFonts w:eastAsia="Times New Roman" w:cs="Times New Roman"/>
          <w:bCs/>
          <w:sz w:val="22"/>
          <w:lang w:val="en-GB"/>
        </w:rPr>
        <w:t xml:space="preserve"> and social exclusion</w:t>
      </w:r>
      <w:r w:rsidR="00D51B55" w:rsidRPr="002720C2">
        <w:rPr>
          <w:rFonts w:eastAsia="Times New Roman" w:cs="Times New Roman"/>
          <w:sz w:val="22"/>
          <w:lang w:val="en-GB"/>
        </w:rPr>
        <w:t xml:space="preserve"> (</w:t>
      </w:r>
      <w:r w:rsidR="00D51B55" w:rsidRPr="002720C2">
        <w:rPr>
          <w:rFonts w:eastAsia="Times New Roman" w:cs="Times New Roman"/>
          <w:i/>
          <w:iCs/>
          <w:sz w:val="22"/>
          <w:lang w:val="en-GB"/>
        </w:rPr>
        <w:t>Recommendation 1</w:t>
      </w:r>
      <w:r w:rsidR="00D51B55" w:rsidRPr="002720C2">
        <w:rPr>
          <w:rFonts w:eastAsia="Times New Roman" w:cs="Times New Roman"/>
          <w:sz w:val="22"/>
          <w:lang w:val="en-GB"/>
        </w:rPr>
        <w:t>)</w:t>
      </w:r>
      <w:r w:rsidR="00D51B55" w:rsidRPr="002720C2">
        <w:rPr>
          <w:rFonts w:asciiTheme="majorHAnsi" w:hAnsiTheme="majorHAnsi"/>
          <w:sz w:val="22"/>
          <w:lang w:val="en-GB"/>
        </w:rPr>
        <w:t>;</w:t>
      </w:r>
    </w:p>
    <w:p w:rsidR="00D51B55" w:rsidRPr="002720C2" w:rsidRDefault="00D51B55" w:rsidP="00D51B55">
      <w:pPr>
        <w:numPr>
          <w:ilvl w:val="1"/>
          <w:numId w:val="25"/>
        </w:numPr>
        <w:jc w:val="both"/>
        <w:rPr>
          <w:rFonts w:eastAsia="Times New Roman" w:cs="Times New Roman"/>
          <w:bCs/>
          <w:sz w:val="22"/>
          <w:lang w:val="en-GB"/>
        </w:rPr>
      </w:pPr>
      <w:r w:rsidRPr="002720C2">
        <w:rPr>
          <w:rFonts w:eastAsia="Times New Roman" w:cs="Times New Roman"/>
          <w:sz w:val="22"/>
          <w:lang w:val="en-GB"/>
        </w:rPr>
        <w:t>to properly justify the selection of the mechanism for the activities supported by the Fund and their implementation (</w:t>
      </w:r>
      <w:r w:rsidRPr="002720C2">
        <w:rPr>
          <w:rFonts w:eastAsia="Times New Roman" w:cs="Times New Roman"/>
          <w:i/>
          <w:sz w:val="22"/>
          <w:lang w:val="en-GB"/>
        </w:rPr>
        <w:t>R</w:t>
      </w:r>
      <w:r w:rsidRPr="002720C2">
        <w:rPr>
          <w:rFonts w:eastAsia="Times New Roman" w:cs="Times New Roman"/>
          <w:i/>
          <w:iCs/>
          <w:sz w:val="22"/>
          <w:lang w:val="en-GB"/>
        </w:rPr>
        <w:t>ecommendations 2 and 3</w:t>
      </w:r>
      <w:r w:rsidRPr="002720C2">
        <w:rPr>
          <w:rFonts w:eastAsia="Times New Roman" w:cs="Times New Roman"/>
          <w:sz w:val="22"/>
          <w:lang w:val="en-GB"/>
        </w:rPr>
        <w:t xml:space="preserve">); </w:t>
      </w:r>
    </w:p>
    <w:p w:rsidR="00D51B55" w:rsidRPr="002720C2" w:rsidRDefault="00D51B55" w:rsidP="00D51B55">
      <w:pPr>
        <w:pStyle w:val="ListParagraph"/>
        <w:rPr>
          <w:rFonts w:eastAsia="Times New Roman" w:cs="Times New Roman"/>
          <w:bCs/>
          <w:sz w:val="22"/>
          <w:lang w:val="en-GB"/>
        </w:rPr>
      </w:pPr>
    </w:p>
    <w:p w:rsidR="00D51B55" w:rsidRPr="002720C2" w:rsidRDefault="00D51B55" w:rsidP="00D51B55">
      <w:pPr>
        <w:numPr>
          <w:ilvl w:val="1"/>
          <w:numId w:val="25"/>
        </w:numPr>
        <w:ind w:left="1797" w:hanging="357"/>
        <w:jc w:val="both"/>
        <w:rPr>
          <w:rFonts w:eastAsia="Times New Roman" w:cs="Times New Roman"/>
          <w:bCs/>
          <w:sz w:val="22"/>
          <w:lang w:val="en-GB"/>
        </w:rPr>
      </w:pPr>
      <w:r w:rsidRPr="002720C2">
        <w:rPr>
          <w:rFonts w:eastAsia="Times New Roman" w:cs="Times New Roman"/>
          <w:sz w:val="22"/>
          <w:lang w:val="en-GB"/>
        </w:rPr>
        <w:t xml:space="preserve">to define the planned forms </w:t>
      </w:r>
      <w:r w:rsidR="000E3AC4">
        <w:rPr>
          <w:rFonts w:eastAsia="Times New Roman" w:cs="Times New Roman"/>
          <w:sz w:val="22"/>
          <w:lang w:val="en-GB"/>
        </w:rPr>
        <w:t xml:space="preserve"> of </w:t>
      </w:r>
      <w:r w:rsidR="000E3AC4" w:rsidRPr="002720C2">
        <w:rPr>
          <w:rFonts w:eastAsia="Times New Roman" w:cs="Times New Roman"/>
          <w:sz w:val="22"/>
          <w:lang w:val="en-GB"/>
        </w:rPr>
        <w:t xml:space="preserve">support </w:t>
      </w:r>
      <w:r w:rsidRPr="002720C2">
        <w:rPr>
          <w:rFonts w:eastAsia="Times New Roman" w:cs="Times New Roman"/>
          <w:sz w:val="22"/>
          <w:lang w:val="en-GB"/>
        </w:rPr>
        <w:t>(</w:t>
      </w:r>
      <w:r w:rsidR="002B2434">
        <w:rPr>
          <w:rFonts w:eastAsia="Times New Roman" w:cs="Times New Roman"/>
          <w:i/>
          <w:iCs/>
          <w:sz w:val="22"/>
          <w:lang w:val="en-GB"/>
        </w:rPr>
        <w:t>Recommendation 4</w:t>
      </w:r>
      <w:r w:rsidRPr="002720C2">
        <w:rPr>
          <w:rFonts w:eastAsia="Times New Roman" w:cs="Times New Roman"/>
          <w:sz w:val="22"/>
          <w:lang w:val="en-GB"/>
        </w:rPr>
        <w:t xml:space="preserve">); </w:t>
      </w:r>
    </w:p>
    <w:p w:rsidR="00D51B55" w:rsidRPr="002720C2" w:rsidRDefault="00D51B55" w:rsidP="00D51B55">
      <w:pPr>
        <w:ind w:left="1797"/>
        <w:jc w:val="both"/>
        <w:rPr>
          <w:rFonts w:eastAsia="Times New Roman" w:cs="Times New Roman"/>
          <w:bCs/>
          <w:sz w:val="22"/>
          <w:lang w:val="en-GB"/>
        </w:rPr>
      </w:pPr>
    </w:p>
    <w:p w:rsidR="00B0489E" w:rsidRPr="002720C2" w:rsidRDefault="000E3AC4" w:rsidP="00D51B55">
      <w:pPr>
        <w:numPr>
          <w:ilvl w:val="1"/>
          <w:numId w:val="25"/>
        </w:numPr>
        <w:jc w:val="both"/>
        <w:rPr>
          <w:rFonts w:eastAsia="Times New Roman" w:cs="Times New Roman"/>
          <w:bCs/>
          <w:sz w:val="22"/>
          <w:lang w:val="en-GB"/>
        </w:rPr>
      </w:pPr>
      <w:r>
        <w:rPr>
          <w:rFonts w:eastAsia="Times New Roman" w:cs="Times New Roman"/>
          <w:sz w:val="22"/>
          <w:lang w:val="en-GB"/>
        </w:rPr>
        <w:t>u</w:t>
      </w:r>
      <w:r w:rsidR="00D51B55" w:rsidRPr="002720C2">
        <w:rPr>
          <w:rFonts w:eastAsia="Times New Roman" w:cs="Times New Roman"/>
          <w:sz w:val="22"/>
          <w:lang w:val="en-GB"/>
        </w:rPr>
        <w:t>ntil the common monitoring indicators are approved, to plan quantitative target</w:t>
      </w:r>
      <w:r>
        <w:rPr>
          <w:rFonts w:eastAsia="Times New Roman" w:cs="Times New Roman"/>
          <w:sz w:val="22"/>
          <w:lang w:val="en-GB"/>
        </w:rPr>
        <w:t>s</w:t>
      </w:r>
      <w:r w:rsidR="00D51B55" w:rsidRPr="002720C2">
        <w:rPr>
          <w:rFonts w:eastAsia="Times New Roman" w:cs="Times New Roman"/>
          <w:sz w:val="22"/>
          <w:lang w:val="en-GB"/>
        </w:rPr>
        <w:t xml:space="preserve"> separately for </w:t>
      </w:r>
      <w:r w:rsidR="00D51B55" w:rsidRPr="002720C2">
        <w:rPr>
          <w:sz w:val="22"/>
          <w:lang w:val="en-GB"/>
        </w:rPr>
        <w:t>food and basic material assistance</w:t>
      </w:r>
      <w:r w:rsidR="00D51B55" w:rsidRPr="002720C2">
        <w:rPr>
          <w:rFonts w:eastAsia="Times New Roman" w:cs="Times New Roman"/>
          <w:sz w:val="22"/>
          <w:lang w:val="en-GB"/>
        </w:rPr>
        <w:t xml:space="preserve"> by taking into account the distribution of financing (</w:t>
      </w:r>
      <w:r w:rsidR="002B2434">
        <w:rPr>
          <w:rFonts w:eastAsia="Times New Roman" w:cs="Times New Roman"/>
          <w:i/>
          <w:iCs/>
          <w:sz w:val="22"/>
          <w:lang w:val="en-GB"/>
        </w:rPr>
        <w:t>Recommendation 5</w:t>
      </w:r>
      <w:r w:rsidR="00DB2842" w:rsidRPr="002720C2">
        <w:rPr>
          <w:rFonts w:eastAsia="Times New Roman" w:cs="Times New Roman"/>
          <w:sz w:val="22"/>
          <w:lang w:val="en-GB"/>
        </w:rPr>
        <w:t xml:space="preserve">). </w:t>
      </w:r>
    </w:p>
    <w:p w:rsidR="00B0489E" w:rsidRPr="002720C2" w:rsidRDefault="00D01361" w:rsidP="00755E9B">
      <w:pPr>
        <w:spacing w:before="100" w:beforeAutospacing="1" w:after="100" w:afterAutospacing="1"/>
        <w:ind w:left="709" w:hanging="349"/>
        <w:jc w:val="both"/>
        <w:rPr>
          <w:rFonts w:eastAsia="Times New Roman" w:cs="Times New Roman"/>
          <w:bCs/>
          <w:szCs w:val="24"/>
          <w:lang w:val="en-GB"/>
        </w:rPr>
      </w:pPr>
      <w:r w:rsidRPr="002720C2">
        <w:rPr>
          <w:rFonts w:eastAsia="Times New Roman" w:cs="Times New Roman"/>
          <w:color w:val="036474"/>
          <w:szCs w:val="24"/>
          <w:lang w:val="en-GB"/>
        </w:rPr>
        <w:t xml:space="preserve">10. </w:t>
      </w:r>
      <w:r w:rsidR="00E001F3" w:rsidRPr="002720C2">
        <w:rPr>
          <w:rFonts w:asciiTheme="majorHAnsi" w:eastAsia="Times New Roman" w:hAnsiTheme="majorHAnsi"/>
          <w:bCs/>
          <w:color w:val="175F6E"/>
          <w:szCs w:val="24"/>
          <w:lang w:val="en-GB"/>
        </w:rPr>
        <w:t>How should the administration system of the 2014–2020 operational programme be improved? (Proposals should be submitted regarding the institutional structure, administrative p</w:t>
      </w:r>
      <w:r w:rsidR="000E3AC4">
        <w:rPr>
          <w:rFonts w:asciiTheme="majorHAnsi" w:eastAsia="Times New Roman" w:hAnsiTheme="majorHAnsi"/>
          <w:bCs/>
          <w:color w:val="175F6E"/>
          <w:szCs w:val="24"/>
          <w:lang w:val="en-GB"/>
        </w:rPr>
        <w:t xml:space="preserve">rinciples </w:t>
      </w:r>
      <w:r w:rsidR="00E001F3" w:rsidRPr="002720C2">
        <w:rPr>
          <w:rFonts w:asciiTheme="majorHAnsi" w:eastAsia="Times New Roman" w:hAnsiTheme="majorHAnsi"/>
          <w:bCs/>
          <w:color w:val="175F6E"/>
          <w:szCs w:val="24"/>
          <w:lang w:val="en-GB"/>
        </w:rPr>
        <w:t>and procedures.</w:t>
      </w:r>
      <w:r w:rsidR="00DB2842" w:rsidRPr="002720C2">
        <w:rPr>
          <w:rFonts w:eastAsia="Times New Roman" w:cs="Times New Roman"/>
          <w:color w:val="175F6E"/>
          <w:szCs w:val="24"/>
          <w:lang w:val="en-GB"/>
        </w:rPr>
        <w:t>)</w:t>
      </w:r>
      <w:r w:rsidR="00AF1C3D" w:rsidRPr="002720C2">
        <w:rPr>
          <w:rFonts w:asciiTheme="majorHAnsi" w:hAnsiTheme="majorHAnsi"/>
          <w:color w:val="036575" w:themeColor="accent5" w:themeTint="E6"/>
          <w:szCs w:val="24"/>
          <w:lang w:val="en-GB"/>
        </w:rPr>
        <w:t xml:space="preserve"> </w:t>
      </w:r>
    </w:p>
    <w:p w:rsidR="00695D8C" w:rsidRPr="002720C2" w:rsidRDefault="00695D8C" w:rsidP="00695D8C">
      <w:pPr>
        <w:spacing w:before="100" w:beforeAutospacing="1" w:after="100" w:afterAutospacing="1"/>
        <w:ind w:left="720"/>
        <w:jc w:val="both"/>
        <w:rPr>
          <w:rFonts w:eastAsia="Times New Roman" w:cs="Times New Roman"/>
          <w:sz w:val="22"/>
          <w:lang w:val="en-GB"/>
        </w:rPr>
      </w:pPr>
      <w:r w:rsidRPr="002720C2">
        <w:rPr>
          <w:rFonts w:eastAsia="Times New Roman" w:cs="Times New Roman"/>
          <w:sz w:val="22"/>
          <w:lang w:val="en-GB"/>
        </w:rPr>
        <w:t xml:space="preserve">The main authorities responsible for the implementation of the OP have adequate </w:t>
      </w:r>
      <w:r w:rsidRPr="002720C2">
        <w:rPr>
          <w:rFonts w:eastAsia="Times New Roman" w:cs="Times New Roman"/>
          <w:bCs/>
          <w:sz w:val="22"/>
          <w:lang w:val="en-GB"/>
        </w:rPr>
        <w:t xml:space="preserve">administrative capacities and experience in implementing other </w:t>
      </w:r>
      <w:r w:rsidRPr="002720C2">
        <w:rPr>
          <w:rFonts w:eastAsia="Times New Roman" w:cs="Times New Roman"/>
          <w:sz w:val="22"/>
          <w:lang w:val="en-GB"/>
        </w:rPr>
        <w:t xml:space="preserve">EU-funded </w:t>
      </w:r>
      <w:r w:rsidRPr="002720C2">
        <w:rPr>
          <w:rFonts w:eastAsia="Times New Roman" w:cs="Times New Roman"/>
          <w:bCs/>
          <w:sz w:val="22"/>
          <w:lang w:val="en-GB"/>
        </w:rPr>
        <w:t xml:space="preserve">interventions; therefore it is likely that they will ensure </w:t>
      </w:r>
      <w:r w:rsidRPr="002720C2">
        <w:rPr>
          <w:rFonts w:eastAsia="Times New Roman" w:cs="Times New Roman"/>
          <w:sz w:val="22"/>
          <w:lang w:val="en-GB"/>
        </w:rPr>
        <w:t xml:space="preserve">effective implementation and administration of the OP. The evaluation has shown that the selected method for the implementation of the </w:t>
      </w:r>
      <w:r w:rsidR="000E3AC4">
        <w:rPr>
          <w:rFonts w:eastAsia="Times New Roman" w:cs="Times New Roman"/>
          <w:sz w:val="22"/>
          <w:lang w:val="en-GB"/>
        </w:rPr>
        <w:t xml:space="preserve">Fund-supported </w:t>
      </w:r>
      <w:r w:rsidRPr="002720C2">
        <w:rPr>
          <w:rFonts w:eastAsia="Times New Roman" w:cs="Times New Roman"/>
          <w:sz w:val="22"/>
          <w:lang w:val="en-GB"/>
        </w:rPr>
        <w:t xml:space="preserve">activities whereby food products and consumer goods are centrally procured by a public </w:t>
      </w:r>
      <w:r w:rsidR="000E3AC4">
        <w:rPr>
          <w:rFonts w:eastAsia="Times New Roman" w:cs="Times New Roman"/>
          <w:sz w:val="22"/>
          <w:lang w:val="en-GB"/>
        </w:rPr>
        <w:t>sector institution</w:t>
      </w:r>
      <w:r w:rsidRPr="002720C2">
        <w:rPr>
          <w:rFonts w:eastAsia="Times New Roman" w:cs="Times New Roman"/>
          <w:sz w:val="22"/>
          <w:lang w:val="en-GB"/>
        </w:rPr>
        <w:t xml:space="preserve"> is appropriate and does not create an additional administrative burden. However, for effective and efficient implementation of the OP, it would be relevant to improve the OP administration system as follows: </w:t>
      </w:r>
    </w:p>
    <w:p w:rsidR="00695D8C" w:rsidRPr="002720C2" w:rsidRDefault="00695D8C" w:rsidP="00695D8C">
      <w:pPr>
        <w:numPr>
          <w:ilvl w:val="1"/>
          <w:numId w:val="25"/>
        </w:numPr>
        <w:ind w:left="1797" w:hanging="357"/>
        <w:jc w:val="both"/>
        <w:rPr>
          <w:rFonts w:eastAsia="Times New Roman" w:cs="Times New Roman"/>
          <w:bCs/>
          <w:sz w:val="22"/>
          <w:lang w:val="en-GB"/>
        </w:rPr>
      </w:pPr>
      <w:r w:rsidRPr="002720C2">
        <w:rPr>
          <w:rFonts w:eastAsia="Times New Roman" w:cs="Times New Roman"/>
          <w:sz w:val="22"/>
          <w:lang w:val="en-GB"/>
        </w:rPr>
        <w:t>to cre</w:t>
      </w:r>
      <w:r w:rsidR="000E3AC4">
        <w:rPr>
          <w:rFonts w:eastAsia="Times New Roman" w:cs="Times New Roman"/>
          <w:sz w:val="22"/>
          <w:lang w:val="en-GB"/>
        </w:rPr>
        <w:t>ate a computerised</w:t>
      </w:r>
      <w:r w:rsidRPr="002720C2">
        <w:rPr>
          <w:rFonts w:eastAsia="Times New Roman" w:cs="Times New Roman"/>
          <w:sz w:val="22"/>
          <w:lang w:val="en-GB"/>
        </w:rPr>
        <w:t xml:space="preserve"> information system to ensure efficient information exchange regarding the implementation of OP activities and the collection and storage of monitoring data (</w:t>
      </w:r>
      <w:r w:rsidR="002B2434">
        <w:rPr>
          <w:rFonts w:eastAsia="Times New Roman" w:cs="Times New Roman"/>
          <w:i/>
          <w:iCs/>
          <w:sz w:val="22"/>
          <w:lang w:val="en-GB"/>
        </w:rPr>
        <w:t>Recommendation 6</w:t>
      </w:r>
      <w:r w:rsidRPr="002720C2">
        <w:rPr>
          <w:rFonts w:eastAsia="Times New Roman" w:cs="Times New Roman"/>
          <w:sz w:val="22"/>
          <w:lang w:val="en-GB"/>
        </w:rPr>
        <w:t>);</w:t>
      </w:r>
    </w:p>
    <w:p w:rsidR="00695D8C" w:rsidRPr="002720C2" w:rsidRDefault="00695D8C" w:rsidP="00695D8C">
      <w:pPr>
        <w:ind w:left="1797"/>
        <w:jc w:val="both"/>
        <w:rPr>
          <w:rFonts w:eastAsia="Times New Roman" w:cs="Times New Roman"/>
          <w:bCs/>
          <w:sz w:val="22"/>
          <w:lang w:val="en-GB"/>
        </w:rPr>
      </w:pPr>
    </w:p>
    <w:p w:rsidR="00695D8C" w:rsidRPr="002720C2" w:rsidRDefault="00695D8C" w:rsidP="00695D8C">
      <w:pPr>
        <w:numPr>
          <w:ilvl w:val="1"/>
          <w:numId w:val="25"/>
        </w:numPr>
        <w:ind w:left="1797" w:hanging="357"/>
        <w:jc w:val="both"/>
        <w:rPr>
          <w:rFonts w:eastAsia="Times New Roman" w:cs="Times New Roman"/>
          <w:bCs/>
          <w:sz w:val="22"/>
          <w:lang w:val="en-GB"/>
        </w:rPr>
      </w:pPr>
      <w:r w:rsidRPr="002720C2">
        <w:rPr>
          <w:rFonts w:eastAsia="Times New Roman" w:cs="Times New Roman"/>
          <w:sz w:val="22"/>
          <w:lang w:val="en-GB"/>
        </w:rPr>
        <w:lastRenderedPageBreak/>
        <w:t>to ensure that the evidence regarding the implementation of the OP specified in the Regulation (results of the survey of the beneficiaries of structured support according to the EC template) is properly used to improve the implementation of the interventions supported by the Fund (</w:t>
      </w:r>
      <w:r w:rsidR="002B2434">
        <w:rPr>
          <w:rFonts w:eastAsia="Times New Roman" w:cs="Times New Roman"/>
          <w:i/>
          <w:iCs/>
          <w:sz w:val="22"/>
          <w:lang w:val="en-GB"/>
        </w:rPr>
        <w:t>Recommendation 7</w:t>
      </w:r>
      <w:r w:rsidRPr="002720C2">
        <w:rPr>
          <w:rFonts w:eastAsia="Times New Roman" w:cs="Times New Roman"/>
          <w:sz w:val="22"/>
          <w:lang w:val="en-GB"/>
        </w:rPr>
        <w:t xml:space="preserve">); </w:t>
      </w:r>
    </w:p>
    <w:p w:rsidR="00695D8C" w:rsidRPr="002720C2" w:rsidRDefault="00695D8C" w:rsidP="00695D8C">
      <w:pPr>
        <w:pStyle w:val="ListParagraph"/>
        <w:rPr>
          <w:rFonts w:eastAsia="Times New Roman" w:cs="Times New Roman"/>
          <w:bCs/>
          <w:sz w:val="22"/>
          <w:lang w:val="en-GB"/>
        </w:rPr>
      </w:pPr>
    </w:p>
    <w:p w:rsidR="00B0489E" w:rsidRPr="002720C2" w:rsidRDefault="00695D8C" w:rsidP="00695D8C">
      <w:pPr>
        <w:numPr>
          <w:ilvl w:val="1"/>
          <w:numId w:val="25"/>
        </w:numPr>
        <w:jc w:val="both"/>
        <w:rPr>
          <w:rFonts w:eastAsia="Times New Roman" w:cs="Times New Roman"/>
          <w:bCs/>
          <w:sz w:val="22"/>
          <w:lang w:val="en-GB"/>
        </w:rPr>
      </w:pPr>
      <w:proofErr w:type="gramStart"/>
      <w:r w:rsidRPr="002720C2">
        <w:rPr>
          <w:rFonts w:eastAsia="Times New Roman" w:cs="Times New Roman"/>
          <w:sz w:val="22"/>
          <w:lang w:val="en-GB"/>
        </w:rPr>
        <w:t>during</w:t>
      </w:r>
      <w:proofErr w:type="gramEnd"/>
      <w:r w:rsidRPr="002720C2">
        <w:rPr>
          <w:rFonts w:eastAsia="Times New Roman" w:cs="Times New Roman"/>
          <w:sz w:val="22"/>
          <w:lang w:val="en-GB"/>
        </w:rPr>
        <w:t xml:space="preserve"> the preparation of the OP, to ensure </w:t>
      </w:r>
      <w:r w:rsidR="000E3AC4">
        <w:rPr>
          <w:rFonts w:eastAsia="Times New Roman" w:cs="Times New Roman"/>
          <w:sz w:val="22"/>
          <w:lang w:val="en-GB"/>
        </w:rPr>
        <w:t>the feedback to</w:t>
      </w:r>
      <w:r w:rsidRPr="002720C2">
        <w:rPr>
          <w:rFonts w:eastAsia="Times New Roman" w:cs="Times New Roman"/>
          <w:sz w:val="22"/>
          <w:lang w:val="en-GB"/>
        </w:rPr>
        <w:t xml:space="preserve"> stakeholders and to involve the partners in all OP implementation stages (</w:t>
      </w:r>
      <w:r w:rsidR="002B2434">
        <w:rPr>
          <w:rFonts w:eastAsia="Times New Roman" w:cs="Times New Roman"/>
          <w:i/>
          <w:iCs/>
          <w:sz w:val="22"/>
          <w:lang w:val="en-GB"/>
        </w:rPr>
        <w:t>Recommendation 8</w:t>
      </w:r>
      <w:r w:rsidR="00DB2842" w:rsidRPr="002720C2">
        <w:rPr>
          <w:rFonts w:eastAsia="Times New Roman" w:cs="Times New Roman"/>
          <w:sz w:val="22"/>
          <w:lang w:val="en-GB"/>
        </w:rPr>
        <w:t xml:space="preserve">). </w:t>
      </w:r>
    </w:p>
    <w:p w:rsidR="00A52582" w:rsidRPr="002720C2" w:rsidRDefault="00D01361" w:rsidP="00122004">
      <w:pPr>
        <w:spacing w:before="100" w:beforeAutospacing="1" w:after="100" w:afterAutospacing="1"/>
        <w:ind w:left="1276" w:hanging="992"/>
        <w:jc w:val="both"/>
        <w:rPr>
          <w:rFonts w:eastAsia="Times New Roman" w:cs="Times New Roman"/>
          <w:bCs/>
          <w:color w:val="175F6E"/>
          <w:szCs w:val="24"/>
          <w:lang w:val="en-GB"/>
        </w:rPr>
      </w:pPr>
      <w:r w:rsidRPr="002720C2">
        <w:rPr>
          <w:rFonts w:eastAsia="Times New Roman" w:cs="Times New Roman"/>
          <w:color w:val="036474"/>
          <w:szCs w:val="24"/>
          <w:lang w:val="en-GB"/>
        </w:rPr>
        <w:t>11.</w:t>
      </w:r>
      <w:r w:rsidR="00DB2842" w:rsidRPr="002720C2">
        <w:rPr>
          <w:rFonts w:eastAsia="Times New Roman" w:cs="Times New Roman"/>
          <w:color w:val="036474"/>
          <w:szCs w:val="24"/>
          <w:lang w:val="en-GB"/>
        </w:rPr>
        <w:t xml:space="preserve">    </w:t>
      </w:r>
      <w:r w:rsidR="00D52568" w:rsidRPr="002720C2">
        <w:rPr>
          <w:rFonts w:asciiTheme="majorHAnsi" w:eastAsia="Times New Roman" w:hAnsiTheme="majorHAnsi"/>
          <w:bCs/>
          <w:color w:val="175F6E"/>
          <w:szCs w:val="24"/>
          <w:lang w:val="en-GB"/>
        </w:rPr>
        <w:t>How should administrative capacities of the authorities and beneficiaries be strengthened? (Suggestions should be provided having regard to the existing situation.</w:t>
      </w:r>
      <w:r w:rsidR="00DB2842" w:rsidRPr="002720C2">
        <w:rPr>
          <w:rFonts w:eastAsia="Times New Roman" w:cs="Times New Roman"/>
          <w:color w:val="175F6E"/>
          <w:szCs w:val="24"/>
          <w:lang w:val="en-GB"/>
        </w:rPr>
        <w:t>)</w:t>
      </w:r>
    </w:p>
    <w:p w:rsidR="000C14E4" w:rsidRPr="002720C2" w:rsidRDefault="000C14E4" w:rsidP="000C14E4">
      <w:pPr>
        <w:spacing w:before="100" w:beforeAutospacing="1" w:after="100" w:afterAutospacing="1"/>
        <w:ind w:left="360"/>
        <w:jc w:val="both"/>
        <w:rPr>
          <w:rFonts w:eastAsia="Times New Roman" w:cs="Times New Roman"/>
          <w:bCs/>
          <w:sz w:val="22"/>
          <w:lang w:val="en-GB"/>
        </w:rPr>
      </w:pPr>
      <w:r w:rsidRPr="002720C2">
        <w:rPr>
          <w:rFonts w:eastAsia="Times New Roman" w:cs="Times New Roman"/>
          <w:sz w:val="22"/>
          <w:lang w:val="en-GB"/>
        </w:rPr>
        <w:t xml:space="preserve">Although the authorities responsible for the preparation and implementation of the OP have acquired useful experience in other programmes aimed at reducing poverty and promoting social inclusion, activities supported by the Fund are a new area of intervention. Therefore, the technical assistance planned in the draft OP for strengthening administrative capacities is necessary to ensure the efficient administration of the OP, because it provides an opportunity not only to finance additional administration costs incurred during the programme, but also to strengthen human resources. Measures for building administrative capacities are also important to partner organisations, some of which are participating in the implementation of food product and basic consumer goods assistance activities for the first time. Therefore, in order to strengthen the institutional administrative capacities and those of the beneficiaries, the following measures would be useful: </w:t>
      </w:r>
      <w:r w:rsidRPr="002720C2">
        <w:rPr>
          <w:rFonts w:eastAsia="Times New Roman" w:cs="Times New Roman"/>
          <w:bCs/>
          <w:sz w:val="22"/>
          <w:lang w:val="en-GB"/>
        </w:rPr>
        <w:t xml:space="preserve"> </w:t>
      </w:r>
    </w:p>
    <w:p w:rsidR="000C14E4" w:rsidRPr="002720C2" w:rsidRDefault="000C14E4" w:rsidP="000C14E4">
      <w:pPr>
        <w:pStyle w:val="ListParagraph"/>
        <w:numPr>
          <w:ilvl w:val="0"/>
          <w:numId w:val="25"/>
        </w:numPr>
        <w:ind w:left="1134" w:hanging="425"/>
        <w:jc w:val="both"/>
        <w:rPr>
          <w:rFonts w:asciiTheme="majorHAnsi" w:hAnsiTheme="majorHAnsi"/>
          <w:sz w:val="22"/>
          <w:lang w:val="en-GB"/>
        </w:rPr>
      </w:pPr>
      <w:r w:rsidRPr="002720C2">
        <w:rPr>
          <w:rFonts w:eastAsia="Times New Roman" w:cs="Times New Roman"/>
          <w:sz w:val="22"/>
          <w:lang w:val="en-GB"/>
        </w:rPr>
        <w:t>training for partner organisations aimed at improving their project management skills</w:t>
      </w:r>
      <w:r w:rsidRPr="002720C2">
        <w:rPr>
          <w:rFonts w:asciiTheme="majorHAnsi" w:hAnsiTheme="majorHAnsi"/>
          <w:sz w:val="22"/>
          <w:lang w:val="en-GB"/>
        </w:rPr>
        <w:t>;</w:t>
      </w:r>
    </w:p>
    <w:p w:rsidR="000C14E4" w:rsidRPr="002720C2" w:rsidRDefault="000C14E4" w:rsidP="000C14E4">
      <w:pPr>
        <w:pStyle w:val="ListParagraph"/>
        <w:ind w:left="794"/>
        <w:jc w:val="both"/>
        <w:rPr>
          <w:rFonts w:asciiTheme="majorHAnsi" w:hAnsiTheme="majorHAnsi"/>
          <w:sz w:val="16"/>
          <w:szCs w:val="16"/>
          <w:lang w:val="en-GB"/>
        </w:rPr>
      </w:pPr>
    </w:p>
    <w:p w:rsidR="00456F36" w:rsidRPr="002720C2" w:rsidRDefault="000C14E4" w:rsidP="000C14E4">
      <w:pPr>
        <w:numPr>
          <w:ilvl w:val="0"/>
          <w:numId w:val="25"/>
        </w:numPr>
        <w:jc w:val="both"/>
        <w:rPr>
          <w:rFonts w:eastAsia="Times New Roman" w:cs="Times New Roman"/>
          <w:bCs/>
          <w:sz w:val="22"/>
          <w:lang w:val="en-GB"/>
        </w:rPr>
      </w:pPr>
      <w:proofErr w:type="gramStart"/>
      <w:r w:rsidRPr="002720C2">
        <w:rPr>
          <w:rFonts w:eastAsia="Times New Roman" w:cs="Times New Roman"/>
          <w:sz w:val="22"/>
          <w:lang w:val="en-GB"/>
        </w:rPr>
        <w:t>sharing</w:t>
      </w:r>
      <w:proofErr w:type="gramEnd"/>
      <w:r w:rsidRPr="002720C2">
        <w:rPr>
          <w:rFonts w:eastAsia="Times New Roman" w:cs="Times New Roman"/>
          <w:sz w:val="22"/>
          <w:lang w:val="en-GB"/>
        </w:rPr>
        <w:t xml:space="preserve"> the experience acquired during the implementation of food product and basic consumer goods assistance activities by such organisations as </w:t>
      </w:r>
      <w:r w:rsidRPr="002720C2">
        <w:rPr>
          <w:rFonts w:eastAsia="Times New Roman" w:cs="Times New Roman"/>
          <w:bCs/>
          <w:sz w:val="22"/>
          <w:lang w:val="en-GB"/>
        </w:rPr>
        <w:t>state enterprise Lithuanian Agricultural and Food Market Regulation Agency</w:t>
      </w:r>
      <w:r w:rsidRPr="002720C2">
        <w:rPr>
          <w:rFonts w:eastAsia="Times New Roman" w:cs="Times New Roman"/>
          <w:sz w:val="22"/>
          <w:lang w:val="en-GB"/>
        </w:rPr>
        <w:t xml:space="preserve">, </w:t>
      </w:r>
      <w:r w:rsidR="000C55CF">
        <w:rPr>
          <w:rFonts w:eastAsia="Times New Roman" w:cs="Times New Roman"/>
          <w:sz w:val="22"/>
          <w:lang w:val="en-GB"/>
        </w:rPr>
        <w:t>Food Bank</w:t>
      </w:r>
      <w:r w:rsidRPr="002720C2">
        <w:rPr>
          <w:rFonts w:eastAsia="Times New Roman" w:cs="Times New Roman"/>
          <w:sz w:val="22"/>
          <w:lang w:val="en-GB"/>
        </w:rPr>
        <w:t>, Lithuanian Red Cross Society, and other organisations working with persons who suffer poverty and social exclusion (organise meetings or virtual consultation platform</w:t>
      </w:r>
      <w:r w:rsidR="00DB2842" w:rsidRPr="002720C2">
        <w:rPr>
          <w:rFonts w:eastAsia="Times New Roman" w:cs="Times New Roman"/>
          <w:sz w:val="22"/>
          <w:lang w:val="en-GB"/>
        </w:rPr>
        <w:t xml:space="preserve">). </w:t>
      </w:r>
    </w:p>
    <w:p w:rsidR="00456F36" w:rsidRPr="002720C2" w:rsidRDefault="00456F36" w:rsidP="00755E9B">
      <w:pPr>
        <w:spacing w:before="100" w:beforeAutospacing="1" w:after="100" w:afterAutospacing="1"/>
        <w:ind w:left="720"/>
        <w:jc w:val="both"/>
        <w:rPr>
          <w:rFonts w:asciiTheme="majorHAnsi" w:hAnsiTheme="majorHAnsi"/>
          <w:sz w:val="22"/>
          <w:lang w:val="en-GB"/>
        </w:rPr>
      </w:pPr>
    </w:p>
    <w:p w:rsidR="00FB736A" w:rsidRPr="002720C2" w:rsidRDefault="00FB736A" w:rsidP="00755E9B">
      <w:pPr>
        <w:spacing w:before="100" w:beforeAutospacing="1" w:after="100" w:afterAutospacing="1"/>
        <w:jc w:val="both"/>
        <w:rPr>
          <w:rFonts w:asciiTheme="majorHAnsi" w:hAnsiTheme="majorHAnsi"/>
          <w:sz w:val="22"/>
          <w:lang w:val="en-GB"/>
        </w:rPr>
      </w:pPr>
      <w:r w:rsidRPr="002720C2">
        <w:rPr>
          <w:rFonts w:asciiTheme="majorHAnsi" w:hAnsiTheme="majorHAnsi"/>
          <w:sz w:val="22"/>
          <w:lang w:val="en-GB"/>
        </w:rPr>
        <w:br w:type="page"/>
      </w:r>
    </w:p>
    <w:p w:rsidR="00FB736A" w:rsidRPr="002720C2" w:rsidRDefault="00DB2842" w:rsidP="00FB736A">
      <w:pPr>
        <w:pStyle w:val="Heading2"/>
        <w:numPr>
          <w:ilvl w:val="0"/>
          <w:numId w:val="0"/>
        </w:numPr>
        <w:ind w:left="680" w:hanging="680"/>
        <w:rPr>
          <w:rStyle w:val="Heading1Char"/>
          <w:lang w:val="en-GB"/>
        </w:rPr>
      </w:pPr>
      <w:bookmarkStart w:id="7" w:name="_Toc396222431"/>
      <w:r w:rsidRPr="002720C2">
        <w:rPr>
          <w:rFonts w:eastAsia="Times New Roman" w:cs="Times New Roman"/>
          <w:lang w:val="en-GB"/>
        </w:rPr>
        <w:lastRenderedPageBreak/>
        <w:t>LITERATURE AND REFERENCES</w:t>
      </w:r>
      <w:bookmarkEnd w:id="7"/>
    </w:p>
    <w:p w:rsidR="000160CE" w:rsidRPr="002720C2" w:rsidRDefault="003C2BA3" w:rsidP="003C2BA3">
      <w:pPr>
        <w:spacing w:before="100" w:beforeAutospacing="1" w:after="100" w:afterAutospacing="1" w:line="240" w:lineRule="auto"/>
        <w:rPr>
          <w:rFonts w:eastAsia="Times New Roman" w:cs="Times New Roman"/>
          <w:bCs/>
          <w:szCs w:val="24"/>
          <w:lang w:val="en-GB"/>
        </w:rPr>
      </w:pPr>
      <w:r w:rsidRPr="002720C2">
        <w:rPr>
          <w:rFonts w:eastAsia="Times New Roman" w:cs="Times New Roman"/>
          <w:b/>
          <w:color w:val="036474"/>
          <w:szCs w:val="24"/>
          <w:lang w:val="en-GB"/>
        </w:rPr>
        <w:t>Sources of information</w:t>
      </w:r>
      <w:r w:rsidR="0091789F" w:rsidRPr="002720C2">
        <w:rPr>
          <w:rFonts w:eastAsia="Times New Roman" w:cs="Times New Roman"/>
          <w:szCs w:val="24"/>
          <w:lang w:val="en-GB"/>
        </w:rPr>
        <w:t xml:space="preserve"> </w:t>
      </w:r>
    </w:p>
    <w:p w:rsidR="00006747" w:rsidRPr="002720C2" w:rsidRDefault="00A25A03" w:rsidP="000160CE">
      <w:pPr>
        <w:pStyle w:val="FootnoteText"/>
        <w:numPr>
          <w:ilvl w:val="0"/>
          <w:numId w:val="24"/>
        </w:numPr>
        <w:spacing w:after="120"/>
        <w:jc w:val="both"/>
        <w:rPr>
          <w:sz w:val="22"/>
          <w:szCs w:val="22"/>
          <w:lang w:val="en-GB"/>
        </w:rPr>
      </w:pPr>
      <w:r w:rsidRPr="002720C2">
        <w:rPr>
          <w:rFonts w:eastAsia="Times New Roman" w:cs="Times New Roman"/>
          <w:sz w:val="22"/>
          <w:szCs w:val="22"/>
          <w:lang w:val="en-GB"/>
        </w:rPr>
        <w:t>Regulation (EU) No. 223/2014 of the European Parliament and of the Council of 11 March 2014 on the Fund for European Aid to the Most Deprived</w:t>
      </w:r>
      <w:r w:rsidRPr="002720C2">
        <w:rPr>
          <w:sz w:val="22"/>
          <w:szCs w:val="22"/>
          <w:lang w:val="en-GB"/>
        </w:rPr>
        <w:t xml:space="preserve">. </w:t>
      </w:r>
      <w:r w:rsidRPr="002720C2">
        <w:rPr>
          <w:rStyle w:val="Emphasis"/>
          <w:sz w:val="22"/>
          <w:szCs w:val="22"/>
          <w:lang w:val="en-GB"/>
        </w:rPr>
        <w:t>Official</w:t>
      </w:r>
      <w:r w:rsidRPr="002720C2">
        <w:rPr>
          <w:rStyle w:val="st"/>
          <w:sz w:val="22"/>
          <w:szCs w:val="22"/>
          <w:lang w:val="en-GB"/>
        </w:rPr>
        <w:t xml:space="preserve"> </w:t>
      </w:r>
      <w:r w:rsidRPr="002720C2">
        <w:rPr>
          <w:rStyle w:val="st"/>
          <w:i/>
          <w:sz w:val="22"/>
          <w:szCs w:val="22"/>
          <w:lang w:val="en-GB"/>
        </w:rPr>
        <w:t xml:space="preserve">Journal of the </w:t>
      </w:r>
      <w:r w:rsidRPr="002720C2">
        <w:rPr>
          <w:rStyle w:val="Emphasis"/>
          <w:sz w:val="22"/>
          <w:szCs w:val="22"/>
          <w:lang w:val="en-GB"/>
        </w:rPr>
        <w:t>European Union</w:t>
      </w:r>
      <w:r w:rsidRPr="002720C2">
        <w:rPr>
          <w:sz w:val="22"/>
          <w:szCs w:val="22"/>
          <w:lang w:val="en-GB"/>
        </w:rPr>
        <w:t xml:space="preserve">, 12.3.2014 </w:t>
      </w:r>
    </w:p>
    <w:p w:rsidR="000160CE" w:rsidRPr="002720C2" w:rsidRDefault="00461111" w:rsidP="000160CE">
      <w:pPr>
        <w:pStyle w:val="FootnoteText"/>
        <w:numPr>
          <w:ilvl w:val="0"/>
          <w:numId w:val="24"/>
        </w:numPr>
        <w:spacing w:after="120"/>
        <w:jc w:val="both"/>
        <w:rPr>
          <w:sz w:val="22"/>
          <w:szCs w:val="22"/>
          <w:lang w:val="en-GB"/>
        </w:rPr>
      </w:pPr>
      <w:r w:rsidRPr="002720C2">
        <w:rPr>
          <w:sz w:val="22"/>
          <w:szCs w:val="22"/>
          <w:lang w:val="en-GB"/>
        </w:rPr>
        <w:t>Order No. A1-175 “Regarding approval of the composition of the monitoring committee for the 2014–2020 Fund for European Aid to the Most Deprived” of 31 March 2014 of the Minister of Social Affairs and Labour</w:t>
      </w:r>
      <w:r w:rsidR="000160CE" w:rsidRPr="002720C2">
        <w:rPr>
          <w:sz w:val="22"/>
          <w:szCs w:val="22"/>
          <w:lang w:val="en-GB"/>
        </w:rPr>
        <w:t>.</w:t>
      </w:r>
    </w:p>
    <w:p w:rsidR="000160CE" w:rsidRPr="002720C2" w:rsidRDefault="003532B8" w:rsidP="000160CE">
      <w:pPr>
        <w:pStyle w:val="FootnoteText"/>
        <w:numPr>
          <w:ilvl w:val="0"/>
          <w:numId w:val="24"/>
        </w:numPr>
        <w:spacing w:after="120"/>
        <w:jc w:val="both"/>
        <w:rPr>
          <w:i/>
          <w:sz w:val="22"/>
          <w:szCs w:val="22"/>
          <w:lang w:val="en-GB"/>
        </w:rPr>
      </w:pPr>
      <w:r w:rsidRPr="002720C2">
        <w:rPr>
          <w:sz w:val="22"/>
          <w:szCs w:val="22"/>
          <w:lang w:val="en-GB"/>
        </w:rPr>
        <w:t>Resolution No. 55 “On appointment of the authorities responsible for the administration of the Fund for European Aid to the Most Deprived in Lithuania” of 22 January 2014 of the Government of the Republic of Lithuania</w:t>
      </w:r>
      <w:r w:rsidR="000160CE" w:rsidRPr="002720C2">
        <w:rPr>
          <w:sz w:val="22"/>
          <w:szCs w:val="22"/>
          <w:lang w:val="en-GB"/>
        </w:rPr>
        <w:t>.</w:t>
      </w:r>
    </w:p>
    <w:p w:rsidR="000160CE" w:rsidRPr="002720C2" w:rsidRDefault="0041673F" w:rsidP="000160CE">
      <w:pPr>
        <w:pStyle w:val="FootnoteText"/>
        <w:numPr>
          <w:ilvl w:val="0"/>
          <w:numId w:val="24"/>
        </w:numPr>
        <w:spacing w:after="120"/>
        <w:jc w:val="both"/>
        <w:rPr>
          <w:sz w:val="22"/>
          <w:szCs w:val="22"/>
          <w:lang w:val="en-GB"/>
        </w:rPr>
      </w:pPr>
      <w:r w:rsidRPr="002720C2">
        <w:rPr>
          <w:sz w:val="22"/>
          <w:szCs w:val="22"/>
          <w:lang w:val="en-GB"/>
        </w:rPr>
        <w:t>Order No. A1-60 “Regarding approval of the temporary procedure for selection of the state projects co-financed by the Fund for European Aid to the Most Deprived for 2</w:t>
      </w:r>
      <w:r w:rsidRPr="002720C2">
        <w:rPr>
          <w:rStyle w:val="hps"/>
          <w:sz w:val="22"/>
          <w:szCs w:val="22"/>
          <w:lang w:val="en-GB"/>
        </w:rPr>
        <w:t xml:space="preserve">014–2020” </w:t>
      </w:r>
      <w:r w:rsidRPr="002720C2">
        <w:rPr>
          <w:sz w:val="22"/>
          <w:szCs w:val="22"/>
          <w:lang w:val="en-GB"/>
        </w:rPr>
        <w:t>of 31 January 2014 of the Minister of Social Affairs and Labour of the Republic of Lithuania, Register of Legal Acts, 2014-02-03, No. 2014-00863</w:t>
      </w:r>
      <w:r w:rsidR="000160CE" w:rsidRPr="002720C2">
        <w:rPr>
          <w:sz w:val="22"/>
          <w:szCs w:val="22"/>
          <w:lang w:val="en-GB"/>
        </w:rPr>
        <w:t>.</w:t>
      </w:r>
    </w:p>
    <w:p w:rsidR="000160CE" w:rsidRPr="002720C2" w:rsidRDefault="0041673F" w:rsidP="000160CE">
      <w:pPr>
        <w:pStyle w:val="FootnoteText"/>
        <w:numPr>
          <w:ilvl w:val="0"/>
          <w:numId w:val="24"/>
        </w:numPr>
        <w:spacing w:after="120"/>
        <w:jc w:val="both"/>
        <w:rPr>
          <w:sz w:val="22"/>
          <w:szCs w:val="22"/>
          <w:lang w:val="en-GB"/>
        </w:rPr>
      </w:pPr>
      <w:r w:rsidRPr="002720C2">
        <w:rPr>
          <w:rFonts w:asciiTheme="majorHAnsi" w:hAnsiTheme="majorHAnsi"/>
          <w:sz w:val="22"/>
          <w:szCs w:val="22"/>
          <w:lang w:val="en-GB"/>
        </w:rPr>
        <w:t xml:space="preserve">European Commission, </w:t>
      </w:r>
      <w:r w:rsidRPr="002720C2">
        <w:rPr>
          <w:rFonts w:asciiTheme="majorHAnsi" w:eastAsia="Times New Roman" w:hAnsiTheme="majorHAnsi" w:cs="Times New Roman"/>
          <w:sz w:val="22"/>
          <w:szCs w:val="22"/>
          <w:lang w:val="en-GB"/>
        </w:rPr>
        <w:t>Recommendation for a Council, Recommendation on Lithuania’s 2014 national reform programme and delivering a Council opinion on Lithuania’s 2014 convergence programme. Brussels 2014</w:t>
      </w:r>
      <w:r w:rsidR="000160CE" w:rsidRPr="002720C2">
        <w:rPr>
          <w:sz w:val="22"/>
          <w:szCs w:val="22"/>
          <w:lang w:val="en-GB"/>
        </w:rPr>
        <w:t xml:space="preserve"> </w:t>
      </w:r>
      <w:hyperlink r:id="rId12" w:history="1">
        <w:r w:rsidR="000160CE" w:rsidRPr="002720C2">
          <w:rPr>
            <w:rStyle w:val="Hyperlink"/>
            <w:sz w:val="22"/>
            <w:szCs w:val="22"/>
            <w:lang w:val="en-GB"/>
          </w:rPr>
          <w:t>http://ec.europa.eu/europe2020/pdf/csr2014/csr2014_lithuania_lt.pdf</w:t>
        </w:r>
      </w:hyperlink>
      <w:r w:rsidR="000160CE" w:rsidRPr="002720C2">
        <w:rPr>
          <w:sz w:val="22"/>
          <w:szCs w:val="22"/>
          <w:lang w:val="en-GB"/>
        </w:rPr>
        <w:t xml:space="preserve"> </w:t>
      </w:r>
    </w:p>
    <w:p w:rsidR="000160CE" w:rsidRPr="002720C2" w:rsidRDefault="00BB5E5D" w:rsidP="000160CE">
      <w:pPr>
        <w:pStyle w:val="ListParagraph"/>
        <w:numPr>
          <w:ilvl w:val="0"/>
          <w:numId w:val="24"/>
        </w:numPr>
        <w:autoSpaceDE w:val="0"/>
        <w:autoSpaceDN w:val="0"/>
        <w:adjustRightInd w:val="0"/>
        <w:spacing w:after="120"/>
        <w:jc w:val="both"/>
        <w:rPr>
          <w:rFonts w:cs="Calibri"/>
          <w:sz w:val="22"/>
          <w:lang w:val="en-GB"/>
        </w:rPr>
      </w:pPr>
      <w:r w:rsidRPr="002720C2">
        <w:rPr>
          <w:rFonts w:cs="Calibri"/>
          <w:sz w:val="22"/>
          <w:lang w:val="en-GB"/>
        </w:rPr>
        <w:t>European Commission Communication “2020 Europe. A strategy for smart, sustainable and inclusive growth”. COM(2010) 2020 final, 13.12.2010</w:t>
      </w:r>
      <w:r w:rsidR="000160CE" w:rsidRPr="002720C2">
        <w:rPr>
          <w:rFonts w:cs="Calibri"/>
          <w:sz w:val="22"/>
          <w:lang w:val="en-GB"/>
        </w:rPr>
        <w:t>.</w:t>
      </w:r>
    </w:p>
    <w:p w:rsidR="000160CE" w:rsidRPr="002720C2" w:rsidRDefault="00BB5E5D" w:rsidP="000160CE">
      <w:pPr>
        <w:pStyle w:val="FootnoteText"/>
        <w:numPr>
          <w:ilvl w:val="0"/>
          <w:numId w:val="24"/>
        </w:numPr>
        <w:spacing w:after="120"/>
        <w:jc w:val="both"/>
        <w:rPr>
          <w:sz w:val="22"/>
          <w:szCs w:val="22"/>
          <w:lang w:val="en-GB"/>
        </w:rPr>
      </w:pPr>
      <w:r w:rsidRPr="002720C2">
        <w:rPr>
          <w:rFonts w:cs="Calibri"/>
          <w:sz w:val="22"/>
          <w:szCs w:val="22"/>
          <w:lang w:val="en-GB"/>
        </w:rPr>
        <w:t xml:space="preserve">European Commission, Communication </w:t>
      </w:r>
      <w:r w:rsidRPr="002720C2">
        <w:rPr>
          <w:sz w:val="22"/>
          <w:szCs w:val="22"/>
          <w:lang w:val="en-GB"/>
        </w:rPr>
        <w:t>The European Platform against Poverty and Social Exclusion: A European framework for social and territorial cohesion”. COM (2010) 0758 final, 16.12.2010</w:t>
      </w:r>
      <w:r w:rsidR="000160CE" w:rsidRPr="002720C2">
        <w:rPr>
          <w:sz w:val="22"/>
          <w:szCs w:val="22"/>
          <w:lang w:val="en-GB"/>
        </w:rPr>
        <w:t>.</w:t>
      </w:r>
    </w:p>
    <w:p w:rsidR="000160CE" w:rsidRPr="002720C2" w:rsidRDefault="000160CE" w:rsidP="000160CE">
      <w:pPr>
        <w:pStyle w:val="FootnoteText"/>
        <w:numPr>
          <w:ilvl w:val="0"/>
          <w:numId w:val="24"/>
        </w:numPr>
        <w:spacing w:after="120"/>
        <w:jc w:val="both"/>
        <w:rPr>
          <w:sz w:val="22"/>
          <w:szCs w:val="22"/>
          <w:lang w:val="en-GB"/>
        </w:rPr>
      </w:pPr>
      <w:r w:rsidRPr="002720C2">
        <w:rPr>
          <w:sz w:val="22"/>
          <w:szCs w:val="22"/>
          <w:lang w:val="en-GB"/>
        </w:rPr>
        <w:t>Eurostat d</w:t>
      </w:r>
      <w:r w:rsidR="004C6043" w:rsidRPr="002720C2">
        <w:rPr>
          <w:sz w:val="22"/>
          <w:szCs w:val="22"/>
          <w:lang w:val="en-GB"/>
        </w:rPr>
        <w:t>atabase.</w:t>
      </w:r>
      <w:r w:rsidRPr="002720C2">
        <w:rPr>
          <w:sz w:val="22"/>
          <w:szCs w:val="22"/>
          <w:lang w:val="en-GB"/>
        </w:rPr>
        <w:t xml:space="preserve"> </w:t>
      </w:r>
    </w:p>
    <w:p w:rsidR="000160CE" w:rsidRPr="002720C2" w:rsidRDefault="004D1E7C" w:rsidP="000160CE">
      <w:pPr>
        <w:pStyle w:val="FootnoteText"/>
        <w:numPr>
          <w:ilvl w:val="0"/>
          <w:numId w:val="24"/>
        </w:numPr>
        <w:spacing w:after="120"/>
        <w:jc w:val="both"/>
        <w:rPr>
          <w:sz w:val="22"/>
          <w:szCs w:val="22"/>
          <w:lang w:val="en-GB"/>
        </w:rPr>
      </w:pPr>
      <w:r w:rsidRPr="002720C2">
        <w:rPr>
          <w:sz w:val="22"/>
          <w:szCs w:val="22"/>
          <w:lang w:val="en-GB"/>
        </w:rPr>
        <w:t>Lithuania: 2013 National Reform Agenda. Vilnius, 2013</w:t>
      </w:r>
      <w:r w:rsidR="000160CE" w:rsidRPr="002720C2">
        <w:rPr>
          <w:sz w:val="22"/>
          <w:szCs w:val="22"/>
          <w:lang w:val="en-GB"/>
        </w:rPr>
        <w:t>.</w:t>
      </w:r>
    </w:p>
    <w:p w:rsidR="000160CE" w:rsidRPr="002720C2" w:rsidRDefault="004D1E7C" w:rsidP="000160CE">
      <w:pPr>
        <w:pStyle w:val="FootnoteText"/>
        <w:numPr>
          <w:ilvl w:val="0"/>
          <w:numId w:val="24"/>
        </w:numPr>
        <w:spacing w:after="120"/>
        <w:jc w:val="both"/>
        <w:rPr>
          <w:sz w:val="22"/>
          <w:szCs w:val="22"/>
          <w:lang w:val="en-GB"/>
        </w:rPr>
      </w:pPr>
      <w:r w:rsidRPr="002720C2">
        <w:rPr>
          <w:rFonts w:eastAsia="Cambria" w:cs="Cambria"/>
          <w:color w:val="000000"/>
          <w:sz w:val="22"/>
          <w:szCs w:val="22"/>
          <w:lang w:val="en-GB"/>
        </w:rPr>
        <w:t xml:space="preserve">2014–2020 </w:t>
      </w:r>
      <w:r w:rsidRPr="002720C2">
        <w:rPr>
          <w:rFonts w:eastAsia="Times New Roman" w:cs="Times New Roman"/>
          <w:bCs/>
          <w:sz w:val="22"/>
          <w:szCs w:val="22"/>
          <w:lang w:val="en-GB"/>
        </w:rPr>
        <w:t xml:space="preserve">Lithuanian draft </w:t>
      </w:r>
      <w:r w:rsidR="008623F4">
        <w:rPr>
          <w:rFonts w:eastAsia="Cambria" w:cs="Cambria"/>
          <w:color w:val="000000"/>
          <w:sz w:val="22"/>
          <w:szCs w:val="22"/>
          <w:lang w:val="en-GB"/>
        </w:rPr>
        <w:t>O</w:t>
      </w:r>
      <w:r w:rsidRPr="002720C2">
        <w:rPr>
          <w:rFonts w:eastAsia="Cambria" w:cs="Cambria"/>
          <w:color w:val="000000"/>
          <w:sz w:val="22"/>
          <w:szCs w:val="22"/>
          <w:lang w:val="en-GB"/>
        </w:rPr>
        <w:t>perational</w:t>
      </w:r>
      <w:r w:rsidR="008623F4">
        <w:rPr>
          <w:rFonts w:eastAsia="Cambria" w:cs="Cambria"/>
          <w:color w:val="000000"/>
          <w:sz w:val="22"/>
          <w:szCs w:val="22"/>
          <w:lang w:val="en-GB"/>
        </w:rPr>
        <w:t xml:space="preserve"> P</w:t>
      </w:r>
      <w:r w:rsidRPr="002720C2">
        <w:rPr>
          <w:rFonts w:eastAsia="Cambria" w:cs="Cambria"/>
          <w:color w:val="000000"/>
          <w:sz w:val="22"/>
          <w:szCs w:val="22"/>
          <w:lang w:val="en-GB"/>
        </w:rPr>
        <w:t>rogramme for EU structural fund investment</w:t>
      </w:r>
      <w:r w:rsidRPr="002720C2">
        <w:rPr>
          <w:sz w:val="22"/>
          <w:szCs w:val="22"/>
          <w:lang w:val="en-GB"/>
        </w:rPr>
        <w:t>, 5 March 2014</w:t>
      </w:r>
      <w:r w:rsidR="000160CE" w:rsidRPr="002720C2">
        <w:rPr>
          <w:sz w:val="22"/>
          <w:szCs w:val="22"/>
          <w:lang w:val="en-GB"/>
        </w:rPr>
        <w:t xml:space="preserve">, </w:t>
      </w:r>
      <w:hyperlink r:id="rId13" w:anchor="VP" w:history="1">
        <w:r w:rsidR="000160CE" w:rsidRPr="002720C2">
          <w:rPr>
            <w:rStyle w:val="Hyperlink"/>
            <w:sz w:val="22"/>
            <w:szCs w:val="22"/>
            <w:lang w:val="en-GB"/>
          </w:rPr>
          <w:t>http://www.esparama.lt/strateginiai-dokumentai1#VP</w:t>
        </w:r>
      </w:hyperlink>
      <w:r w:rsidR="000160CE" w:rsidRPr="002720C2">
        <w:rPr>
          <w:sz w:val="22"/>
          <w:szCs w:val="22"/>
          <w:lang w:val="en-GB"/>
        </w:rPr>
        <w:t xml:space="preserve"> .</w:t>
      </w:r>
    </w:p>
    <w:p w:rsidR="000160CE" w:rsidRPr="002720C2" w:rsidRDefault="000160CE" w:rsidP="000160CE">
      <w:pPr>
        <w:pStyle w:val="FootnoteText"/>
        <w:numPr>
          <w:ilvl w:val="0"/>
          <w:numId w:val="24"/>
        </w:numPr>
        <w:spacing w:after="120"/>
        <w:jc w:val="both"/>
        <w:rPr>
          <w:sz w:val="22"/>
          <w:szCs w:val="22"/>
          <w:lang w:val="en-GB"/>
        </w:rPr>
      </w:pPr>
      <w:r w:rsidRPr="002720C2">
        <w:rPr>
          <w:sz w:val="22"/>
          <w:szCs w:val="22"/>
          <w:lang w:val="en-GB"/>
        </w:rPr>
        <w:t>Regulation (EU</w:t>
      </w:r>
      <w:r w:rsidR="004D1E7C" w:rsidRPr="002720C2">
        <w:rPr>
          <w:sz w:val="22"/>
          <w:szCs w:val="22"/>
          <w:lang w:val="en-GB"/>
        </w:rPr>
        <w:t>) No 1303/2013 of the European P</w:t>
      </w:r>
      <w:r w:rsidRPr="002720C2">
        <w:rPr>
          <w:sz w:val="22"/>
          <w:szCs w:val="22"/>
          <w:lang w:val="en-GB"/>
        </w:rPr>
        <w:t>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on the European Regional Development Fund, the European Social Fund, the Cohesion Fund and the European Maritime and Fisheries Fund and repealing Council Regulation (EC) No 1083/2006.</w:t>
      </w:r>
    </w:p>
    <w:p w:rsidR="000160CE" w:rsidRPr="002720C2" w:rsidRDefault="004D1E7C" w:rsidP="000160CE">
      <w:pPr>
        <w:pStyle w:val="ListParagraph"/>
        <w:numPr>
          <w:ilvl w:val="0"/>
          <w:numId w:val="24"/>
        </w:numPr>
        <w:spacing w:after="120"/>
        <w:jc w:val="both"/>
        <w:rPr>
          <w:sz w:val="22"/>
          <w:lang w:val="en-GB"/>
        </w:rPr>
      </w:pPr>
      <w:r w:rsidRPr="002720C2">
        <w:rPr>
          <w:rFonts w:eastAsia="Times New Roman" w:cs="Times New Roman"/>
          <w:bCs/>
          <w:sz w:val="22"/>
          <w:lang w:val="en-GB"/>
        </w:rPr>
        <w:t>State Enterprise Lithuanian Agricultural and Food Market Regulation Agency (website)</w:t>
      </w:r>
      <w:r w:rsidR="000160CE" w:rsidRPr="002720C2">
        <w:rPr>
          <w:sz w:val="22"/>
          <w:lang w:val="en-GB"/>
        </w:rPr>
        <w:t xml:space="preserve">, </w:t>
      </w:r>
      <w:hyperlink r:id="rId14" w:history="1">
        <w:r w:rsidR="000160CE" w:rsidRPr="002720C2">
          <w:rPr>
            <w:rStyle w:val="Hyperlink"/>
            <w:sz w:val="22"/>
            <w:lang w:val="en-GB"/>
          </w:rPr>
          <w:t>http://www.litfood.lt/Lists/Publications/AllItems.aspx?RootFolder=http%3a%2f%2fwww%2elitfood%2elt%2fLists%2fPublications%2fPagalba%20maisto%20produktais%2fStatistika&amp;FolderCTID=0x012000EF8B28BBC9FD604F9F45357A684ABF67</w:t>
        </w:r>
      </w:hyperlink>
      <w:r w:rsidR="000160CE" w:rsidRPr="002720C2">
        <w:rPr>
          <w:sz w:val="22"/>
          <w:lang w:val="en-GB"/>
        </w:rPr>
        <w:t>.</w:t>
      </w:r>
    </w:p>
    <w:p w:rsidR="005E39AB" w:rsidRPr="002720C2" w:rsidRDefault="005E39AB" w:rsidP="005E39AB">
      <w:pPr>
        <w:pStyle w:val="Text"/>
        <w:ind w:left="0"/>
        <w:rPr>
          <w:noProof w:val="0"/>
          <w:lang w:val="en-GB"/>
        </w:rPr>
      </w:pPr>
    </w:p>
    <w:p w:rsidR="005E39AB" w:rsidRPr="002720C2" w:rsidRDefault="004C6A0F" w:rsidP="005E39AB">
      <w:pPr>
        <w:pStyle w:val="Text"/>
        <w:ind w:left="0"/>
        <w:rPr>
          <w:b/>
          <w:noProof w:val="0"/>
          <w:color w:val="036575" w:themeColor="accent5" w:themeTint="E6"/>
          <w:lang w:val="en-GB"/>
        </w:rPr>
      </w:pPr>
      <w:r w:rsidRPr="002720C2">
        <w:rPr>
          <w:b/>
          <w:noProof w:val="0"/>
          <w:color w:val="036575" w:themeColor="accent5" w:themeTint="E6"/>
          <w:lang w:val="en-GB"/>
        </w:rPr>
        <w:lastRenderedPageBreak/>
        <w:t>List of interviewees</w:t>
      </w:r>
    </w:p>
    <w:tbl>
      <w:tblPr>
        <w:tblStyle w:val="VPVILentele1"/>
        <w:tblW w:w="0" w:type="auto"/>
        <w:tblLook w:val="04A0" w:firstRow="1" w:lastRow="0" w:firstColumn="1" w:lastColumn="0" w:noHBand="0" w:noVBand="1"/>
      </w:tblPr>
      <w:tblGrid>
        <w:gridCol w:w="3208"/>
        <w:gridCol w:w="4838"/>
        <w:gridCol w:w="2114"/>
      </w:tblGrid>
      <w:tr w:rsidR="005E39AB" w:rsidRPr="002720C2" w:rsidTr="005E39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8" w:type="dxa"/>
          </w:tcPr>
          <w:p w:rsidR="005E39AB" w:rsidRPr="002720C2" w:rsidRDefault="004C6A0F" w:rsidP="00FB736A">
            <w:pPr>
              <w:pStyle w:val="PlainText"/>
              <w:rPr>
                <w:rFonts w:asciiTheme="minorHAnsi" w:hAnsiTheme="minorHAnsi"/>
                <w:szCs w:val="22"/>
                <w:lang w:val="en-GB"/>
              </w:rPr>
            </w:pPr>
            <w:r w:rsidRPr="002720C2">
              <w:rPr>
                <w:rFonts w:asciiTheme="minorHAnsi" w:hAnsiTheme="minorHAnsi"/>
                <w:szCs w:val="22"/>
                <w:lang w:val="en-GB"/>
              </w:rPr>
              <w:t>Full name</w:t>
            </w:r>
          </w:p>
        </w:tc>
        <w:tc>
          <w:tcPr>
            <w:tcW w:w="4838" w:type="dxa"/>
          </w:tcPr>
          <w:p w:rsidR="005E39AB" w:rsidRPr="002720C2" w:rsidRDefault="005E39AB" w:rsidP="004C6A0F">
            <w:pPr>
              <w:pStyle w:val="PlainText"/>
              <w:cnfStyle w:val="100000000000" w:firstRow="1" w:lastRow="0" w:firstColumn="0" w:lastColumn="0" w:oddVBand="0" w:evenVBand="0" w:oddHBand="0" w:evenHBand="0" w:firstRowFirstColumn="0" w:firstRowLastColumn="0" w:lastRowFirstColumn="0" w:lastRowLastColumn="0"/>
              <w:rPr>
                <w:rFonts w:asciiTheme="minorHAnsi" w:hAnsiTheme="minorHAnsi"/>
                <w:szCs w:val="22"/>
                <w:lang w:val="en-GB"/>
              </w:rPr>
            </w:pPr>
            <w:r w:rsidRPr="002720C2">
              <w:rPr>
                <w:rFonts w:asciiTheme="minorHAnsi" w:hAnsiTheme="minorHAnsi"/>
                <w:szCs w:val="22"/>
                <w:lang w:val="en-GB"/>
              </w:rPr>
              <w:t>Organi</w:t>
            </w:r>
            <w:r w:rsidR="004C6A0F" w:rsidRPr="002720C2">
              <w:rPr>
                <w:rFonts w:asciiTheme="minorHAnsi" w:hAnsiTheme="minorHAnsi"/>
                <w:szCs w:val="22"/>
                <w:lang w:val="en-GB"/>
              </w:rPr>
              <w:t>sation</w:t>
            </w:r>
            <w:r w:rsidRPr="002720C2">
              <w:rPr>
                <w:rFonts w:asciiTheme="minorHAnsi" w:hAnsiTheme="minorHAnsi"/>
                <w:szCs w:val="22"/>
                <w:lang w:val="en-GB"/>
              </w:rPr>
              <w:t xml:space="preserve">, </w:t>
            </w:r>
            <w:r w:rsidR="004C6A0F" w:rsidRPr="002720C2">
              <w:rPr>
                <w:rFonts w:asciiTheme="minorHAnsi" w:hAnsiTheme="minorHAnsi"/>
                <w:szCs w:val="22"/>
                <w:lang w:val="en-GB"/>
              </w:rPr>
              <w:t>contacts</w:t>
            </w:r>
          </w:p>
        </w:tc>
        <w:tc>
          <w:tcPr>
            <w:tcW w:w="2114" w:type="dxa"/>
          </w:tcPr>
          <w:p w:rsidR="005E39AB" w:rsidRPr="002720C2" w:rsidRDefault="005E39AB" w:rsidP="004C6A0F">
            <w:pPr>
              <w:pStyle w:val="PlainText"/>
              <w:cnfStyle w:val="100000000000" w:firstRow="1" w:lastRow="0" w:firstColumn="0" w:lastColumn="0" w:oddVBand="0" w:evenVBand="0" w:oddHBand="0" w:evenHBand="0" w:firstRowFirstColumn="0" w:firstRowLastColumn="0" w:lastRowFirstColumn="0" w:lastRowLastColumn="0"/>
              <w:rPr>
                <w:rFonts w:asciiTheme="minorHAnsi" w:hAnsiTheme="minorHAnsi"/>
                <w:szCs w:val="22"/>
                <w:lang w:val="en-GB"/>
              </w:rPr>
            </w:pPr>
            <w:r w:rsidRPr="002720C2">
              <w:rPr>
                <w:rFonts w:asciiTheme="minorHAnsi" w:hAnsiTheme="minorHAnsi"/>
                <w:szCs w:val="22"/>
                <w:lang w:val="en-GB"/>
              </w:rPr>
              <w:t>Dat</w:t>
            </w:r>
            <w:r w:rsidR="004C6A0F" w:rsidRPr="002720C2">
              <w:rPr>
                <w:rFonts w:asciiTheme="minorHAnsi" w:hAnsiTheme="minorHAnsi"/>
                <w:szCs w:val="22"/>
                <w:lang w:val="en-GB"/>
              </w:rPr>
              <w:t>e</w:t>
            </w:r>
          </w:p>
        </w:tc>
      </w:tr>
      <w:tr w:rsidR="005E39AB" w:rsidRPr="002720C2" w:rsidTr="005E3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005E39AB" w:rsidRPr="002720C2" w:rsidRDefault="005E39AB" w:rsidP="005E39AB">
            <w:pPr>
              <w:pStyle w:val="PlainText"/>
              <w:rPr>
                <w:rFonts w:asciiTheme="minorHAnsi" w:hAnsiTheme="minorHAnsi"/>
                <w:szCs w:val="22"/>
                <w:lang w:val="en-GB"/>
              </w:rPr>
            </w:pPr>
            <w:r w:rsidRPr="002720C2">
              <w:rPr>
                <w:rFonts w:asciiTheme="minorHAnsi" w:hAnsiTheme="minorHAnsi"/>
                <w:szCs w:val="22"/>
                <w:lang w:val="en-GB"/>
              </w:rPr>
              <w:t xml:space="preserve">Dalia </w:t>
            </w:r>
            <w:proofErr w:type="spellStart"/>
            <w:r w:rsidRPr="002720C2">
              <w:rPr>
                <w:rFonts w:asciiTheme="minorHAnsi" w:hAnsiTheme="minorHAnsi"/>
                <w:szCs w:val="22"/>
                <w:lang w:val="en-GB"/>
              </w:rPr>
              <w:t>Reklaitienė</w:t>
            </w:r>
            <w:proofErr w:type="spellEnd"/>
            <w:r w:rsidRPr="002720C2">
              <w:rPr>
                <w:rFonts w:asciiTheme="minorHAnsi" w:hAnsiTheme="minorHAnsi"/>
                <w:szCs w:val="22"/>
                <w:lang w:val="en-GB"/>
              </w:rPr>
              <w:t xml:space="preserve"> </w:t>
            </w:r>
          </w:p>
        </w:tc>
        <w:tc>
          <w:tcPr>
            <w:tcW w:w="4838" w:type="dxa"/>
          </w:tcPr>
          <w:p w:rsidR="005E39AB" w:rsidRPr="002720C2" w:rsidRDefault="00C85890" w:rsidP="00FB736A">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Fonts w:asciiTheme="majorHAnsi" w:eastAsia="Times New Roman" w:hAnsiTheme="majorHAnsi" w:cs="Times New Roman"/>
                <w:lang w:val="en-GB"/>
              </w:rPr>
              <w:t>Lithuanian Red Cross Society</w:t>
            </w:r>
            <w:r w:rsidR="007D2ED2" w:rsidRPr="002720C2">
              <w:rPr>
                <w:rFonts w:asciiTheme="majorHAnsi" w:eastAsia="Times New Roman" w:hAnsiTheme="majorHAnsi" w:cs="Times New Roman"/>
                <w:lang w:val="en-GB"/>
              </w:rPr>
              <w:t>,</w:t>
            </w:r>
            <w:r w:rsidR="005E39AB" w:rsidRPr="002720C2">
              <w:rPr>
                <w:rFonts w:asciiTheme="majorHAnsi" w:hAnsiTheme="majorHAnsi"/>
                <w:szCs w:val="22"/>
                <w:lang w:val="en-GB"/>
              </w:rPr>
              <w:t xml:space="preserve"> </w:t>
            </w:r>
          </w:p>
          <w:p w:rsidR="005E39AB" w:rsidRPr="002720C2" w:rsidRDefault="005E39AB" w:rsidP="00FB736A">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 xml:space="preserve">tel. 8-5-2628037, </w:t>
            </w:r>
            <w:hyperlink r:id="rId15" w:history="1">
              <w:r w:rsidRPr="002720C2">
                <w:rPr>
                  <w:rStyle w:val="Hyperlink"/>
                  <w:rFonts w:asciiTheme="majorHAnsi" w:hAnsiTheme="majorHAnsi"/>
                  <w:szCs w:val="22"/>
                  <w:lang w:val="en-GB"/>
                </w:rPr>
                <w:t>dalia@redcross.lt</w:t>
              </w:r>
            </w:hyperlink>
          </w:p>
        </w:tc>
        <w:tc>
          <w:tcPr>
            <w:tcW w:w="2114" w:type="dxa"/>
          </w:tcPr>
          <w:p w:rsidR="005E39AB" w:rsidRPr="002720C2" w:rsidRDefault="00C85890" w:rsidP="00646DCB">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04.07.</w:t>
            </w:r>
            <w:r w:rsidR="005E39AB" w:rsidRPr="002720C2">
              <w:rPr>
                <w:rFonts w:asciiTheme="majorHAnsi" w:hAnsiTheme="majorHAnsi"/>
                <w:szCs w:val="22"/>
                <w:lang w:val="en-GB"/>
              </w:rPr>
              <w:t>2014 (</w:t>
            </w:r>
            <w:r w:rsidR="00646DCB" w:rsidRPr="002720C2">
              <w:rPr>
                <w:rFonts w:asciiTheme="majorHAnsi" w:hAnsiTheme="majorHAnsi"/>
                <w:szCs w:val="22"/>
                <w:lang w:val="en-GB"/>
              </w:rPr>
              <w:t>replies provided in writing</w:t>
            </w:r>
            <w:r w:rsidR="005E39AB" w:rsidRPr="002720C2">
              <w:rPr>
                <w:rFonts w:asciiTheme="majorHAnsi" w:hAnsiTheme="majorHAnsi"/>
                <w:szCs w:val="22"/>
                <w:lang w:val="en-GB"/>
              </w:rPr>
              <w:t>)</w:t>
            </w:r>
          </w:p>
        </w:tc>
      </w:tr>
      <w:tr w:rsidR="005E39AB" w:rsidRPr="002720C2" w:rsidTr="005E3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005E39AB" w:rsidRPr="002720C2" w:rsidRDefault="005E39AB" w:rsidP="005E39AB">
            <w:pPr>
              <w:pStyle w:val="PlainText"/>
              <w:rPr>
                <w:rFonts w:asciiTheme="minorHAnsi" w:hAnsiTheme="minorHAnsi"/>
                <w:szCs w:val="22"/>
                <w:lang w:val="en-GB"/>
              </w:rPr>
            </w:pPr>
            <w:proofErr w:type="spellStart"/>
            <w:r w:rsidRPr="002720C2">
              <w:rPr>
                <w:rFonts w:asciiTheme="minorHAnsi" w:hAnsiTheme="minorHAnsi"/>
                <w:szCs w:val="22"/>
                <w:lang w:val="en-GB"/>
              </w:rPr>
              <w:t>Mantvydas</w:t>
            </w:r>
            <w:proofErr w:type="spellEnd"/>
            <w:r w:rsidRPr="002720C2">
              <w:rPr>
                <w:rFonts w:asciiTheme="minorHAnsi" w:hAnsiTheme="minorHAnsi"/>
                <w:szCs w:val="22"/>
                <w:lang w:val="en-GB"/>
              </w:rPr>
              <w:t xml:space="preserve"> </w:t>
            </w:r>
            <w:proofErr w:type="spellStart"/>
            <w:r w:rsidRPr="002720C2">
              <w:rPr>
                <w:rFonts w:asciiTheme="minorHAnsi" w:hAnsiTheme="minorHAnsi"/>
                <w:szCs w:val="22"/>
                <w:lang w:val="en-GB"/>
              </w:rPr>
              <w:t>Musteikis</w:t>
            </w:r>
            <w:proofErr w:type="spellEnd"/>
          </w:p>
        </w:tc>
        <w:tc>
          <w:tcPr>
            <w:tcW w:w="4838" w:type="dxa"/>
          </w:tcPr>
          <w:p w:rsidR="005E39AB" w:rsidRPr="002720C2" w:rsidRDefault="00C85890" w:rsidP="00FB736A">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Fonts w:asciiTheme="majorHAnsi" w:eastAsia="Times New Roman" w:hAnsiTheme="majorHAnsi" w:cs="Times New Roman"/>
                <w:bCs/>
                <w:szCs w:val="22"/>
                <w:lang w:val="en-GB"/>
              </w:rPr>
              <w:t>State Enterprise Lithuanian Agricultural and Food Market Regulation Agency</w:t>
            </w:r>
            <w:r w:rsidR="005E39AB" w:rsidRPr="002720C2">
              <w:rPr>
                <w:rFonts w:asciiTheme="majorHAnsi" w:hAnsiTheme="majorHAnsi"/>
                <w:szCs w:val="22"/>
                <w:lang w:val="en-GB"/>
              </w:rPr>
              <w:t xml:space="preserve">, </w:t>
            </w:r>
          </w:p>
          <w:p w:rsidR="005E39AB" w:rsidRPr="002720C2" w:rsidRDefault="005E39AB" w:rsidP="00FB736A">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 xml:space="preserve">tel. 8-615-45390, 8-5-2685050, </w:t>
            </w:r>
            <w:hyperlink r:id="rId16" w:history="1">
              <w:r w:rsidRPr="002720C2">
                <w:rPr>
                  <w:rStyle w:val="Hyperlink"/>
                  <w:rFonts w:asciiTheme="majorHAnsi" w:hAnsiTheme="majorHAnsi"/>
                  <w:szCs w:val="22"/>
                  <w:lang w:val="en-GB"/>
                </w:rPr>
                <w:t>m.musteikis@litfood.lt</w:t>
              </w:r>
            </w:hyperlink>
          </w:p>
        </w:tc>
        <w:tc>
          <w:tcPr>
            <w:tcW w:w="2114" w:type="dxa"/>
          </w:tcPr>
          <w:p w:rsidR="005E39AB" w:rsidRPr="002720C2" w:rsidRDefault="00C85890" w:rsidP="00C85890">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07.07.</w:t>
            </w:r>
            <w:r w:rsidR="005E39AB" w:rsidRPr="002720C2">
              <w:rPr>
                <w:rFonts w:asciiTheme="majorHAnsi" w:hAnsiTheme="majorHAnsi"/>
                <w:szCs w:val="22"/>
                <w:lang w:val="en-GB"/>
              </w:rPr>
              <w:t>2014</w:t>
            </w:r>
          </w:p>
        </w:tc>
      </w:tr>
      <w:tr w:rsidR="005E39AB" w:rsidRPr="002720C2" w:rsidTr="005E3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005E39AB" w:rsidRPr="002720C2" w:rsidRDefault="005E39AB" w:rsidP="00FB736A">
            <w:pPr>
              <w:pStyle w:val="PlainText"/>
              <w:rPr>
                <w:rFonts w:asciiTheme="minorHAnsi" w:hAnsiTheme="minorHAnsi"/>
                <w:szCs w:val="22"/>
                <w:lang w:val="en-GB"/>
              </w:rPr>
            </w:pPr>
            <w:proofErr w:type="spellStart"/>
            <w:r w:rsidRPr="002720C2">
              <w:rPr>
                <w:rFonts w:asciiTheme="minorHAnsi" w:hAnsiTheme="minorHAnsi"/>
                <w:szCs w:val="22"/>
                <w:lang w:val="en-GB"/>
              </w:rPr>
              <w:t>Rasita</w:t>
            </w:r>
            <w:proofErr w:type="spellEnd"/>
            <w:r w:rsidRPr="002720C2">
              <w:rPr>
                <w:rFonts w:asciiTheme="minorHAnsi" w:hAnsiTheme="minorHAnsi"/>
                <w:szCs w:val="22"/>
                <w:lang w:val="en-GB"/>
              </w:rPr>
              <w:t xml:space="preserve"> </w:t>
            </w:r>
            <w:proofErr w:type="spellStart"/>
            <w:r w:rsidRPr="002720C2">
              <w:rPr>
                <w:rFonts w:asciiTheme="minorHAnsi" w:hAnsiTheme="minorHAnsi"/>
                <w:szCs w:val="22"/>
                <w:lang w:val="en-GB"/>
              </w:rPr>
              <w:t>Kraujelytė-Noreikienė</w:t>
            </w:r>
            <w:proofErr w:type="spellEnd"/>
          </w:p>
        </w:tc>
        <w:tc>
          <w:tcPr>
            <w:tcW w:w="4838" w:type="dxa"/>
          </w:tcPr>
          <w:p w:rsidR="005E39AB" w:rsidRPr="002720C2" w:rsidRDefault="002B6875" w:rsidP="005E39AB">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Fonts w:asciiTheme="majorHAnsi" w:eastAsia="Times New Roman" w:hAnsiTheme="majorHAnsi" w:cs="Times New Roman"/>
                <w:bCs/>
                <w:szCs w:val="22"/>
                <w:lang w:val="en-GB"/>
              </w:rPr>
              <w:t>State Enterprise Lithuanian Agricultural and Food Market Regulation Agency</w:t>
            </w:r>
            <w:r w:rsidR="005E39AB" w:rsidRPr="002720C2">
              <w:rPr>
                <w:rFonts w:asciiTheme="majorHAnsi" w:hAnsiTheme="majorHAnsi"/>
                <w:szCs w:val="22"/>
                <w:lang w:val="en-GB"/>
              </w:rPr>
              <w:t>,</w:t>
            </w:r>
          </w:p>
          <w:p w:rsidR="005E39AB" w:rsidRPr="002720C2" w:rsidRDefault="006832C0" w:rsidP="00FB736A">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hyperlink r:id="rId17" w:history="1">
              <w:r w:rsidR="005E39AB" w:rsidRPr="002720C2">
                <w:rPr>
                  <w:rStyle w:val="Hyperlink"/>
                  <w:rFonts w:asciiTheme="majorHAnsi" w:hAnsiTheme="majorHAnsi"/>
                  <w:szCs w:val="22"/>
                  <w:lang w:val="en-GB"/>
                </w:rPr>
                <w:t>r.kraujelyte-noreikiene@litfood.lt</w:t>
              </w:r>
            </w:hyperlink>
          </w:p>
        </w:tc>
        <w:tc>
          <w:tcPr>
            <w:tcW w:w="2114" w:type="dxa"/>
          </w:tcPr>
          <w:p w:rsidR="005E39AB" w:rsidRPr="002720C2" w:rsidRDefault="00C85890" w:rsidP="00C85890">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07.07.</w:t>
            </w:r>
            <w:r w:rsidR="005E39AB" w:rsidRPr="002720C2">
              <w:rPr>
                <w:rFonts w:asciiTheme="majorHAnsi" w:hAnsiTheme="majorHAnsi"/>
                <w:szCs w:val="22"/>
                <w:lang w:val="en-GB"/>
              </w:rPr>
              <w:t>2014</w:t>
            </w:r>
          </w:p>
        </w:tc>
      </w:tr>
      <w:tr w:rsidR="005E39AB" w:rsidRPr="002720C2" w:rsidTr="005E3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005E39AB" w:rsidRPr="002720C2" w:rsidRDefault="005E39AB" w:rsidP="00FB736A">
            <w:pPr>
              <w:pStyle w:val="PlainText"/>
              <w:rPr>
                <w:rFonts w:asciiTheme="minorHAnsi" w:hAnsiTheme="minorHAnsi"/>
                <w:szCs w:val="22"/>
                <w:lang w:val="en-GB"/>
              </w:rPr>
            </w:pPr>
            <w:proofErr w:type="spellStart"/>
            <w:r w:rsidRPr="002720C2">
              <w:rPr>
                <w:rFonts w:asciiTheme="minorHAnsi" w:hAnsiTheme="minorHAnsi"/>
                <w:szCs w:val="22"/>
                <w:lang w:val="en-GB"/>
              </w:rPr>
              <w:t>Germanas</w:t>
            </w:r>
            <w:proofErr w:type="spellEnd"/>
            <w:r w:rsidRPr="002720C2">
              <w:rPr>
                <w:rFonts w:asciiTheme="minorHAnsi" w:hAnsiTheme="minorHAnsi"/>
                <w:szCs w:val="22"/>
                <w:lang w:val="en-GB"/>
              </w:rPr>
              <w:t xml:space="preserve"> </w:t>
            </w:r>
            <w:proofErr w:type="spellStart"/>
            <w:r w:rsidRPr="002720C2">
              <w:rPr>
                <w:rFonts w:asciiTheme="minorHAnsi" w:hAnsiTheme="minorHAnsi"/>
                <w:szCs w:val="22"/>
                <w:lang w:val="en-GB"/>
              </w:rPr>
              <w:t>Lamsodis</w:t>
            </w:r>
            <w:proofErr w:type="spellEnd"/>
          </w:p>
        </w:tc>
        <w:tc>
          <w:tcPr>
            <w:tcW w:w="4838" w:type="dxa"/>
          </w:tcPr>
          <w:p w:rsidR="005E39AB" w:rsidRPr="002720C2" w:rsidRDefault="002B6875" w:rsidP="005E39AB">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Fonts w:asciiTheme="majorHAnsi" w:eastAsia="Times New Roman" w:hAnsiTheme="majorHAnsi" w:cs="Times New Roman"/>
                <w:bCs/>
                <w:szCs w:val="22"/>
                <w:lang w:val="en-GB"/>
              </w:rPr>
              <w:t>State Enterprise Lithuanian Agricultural and Food Market Regulation Agency</w:t>
            </w:r>
            <w:r w:rsidR="005E39AB" w:rsidRPr="002720C2">
              <w:rPr>
                <w:rFonts w:asciiTheme="majorHAnsi" w:hAnsiTheme="majorHAnsi"/>
                <w:szCs w:val="22"/>
                <w:lang w:val="en-GB"/>
              </w:rPr>
              <w:t>,</w:t>
            </w:r>
          </w:p>
          <w:p w:rsidR="005E39AB" w:rsidRPr="002720C2" w:rsidRDefault="006832C0" w:rsidP="005E39AB">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hyperlink r:id="rId18" w:history="1">
              <w:r w:rsidR="005E39AB" w:rsidRPr="002720C2">
                <w:rPr>
                  <w:rStyle w:val="Hyperlink"/>
                  <w:rFonts w:asciiTheme="majorHAnsi" w:hAnsiTheme="majorHAnsi"/>
                  <w:szCs w:val="22"/>
                  <w:lang w:val="en-GB"/>
                </w:rPr>
                <w:t>g.lamsodis@litfood.lt</w:t>
              </w:r>
            </w:hyperlink>
            <w:r w:rsidR="005E39AB" w:rsidRPr="002720C2">
              <w:rPr>
                <w:rFonts w:asciiTheme="majorHAnsi" w:hAnsiTheme="majorHAnsi"/>
                <w:szCs w:val="22"/>
                <w:lang w:val="en-GB"/>
              </w:rPr>
              <w:t xml:space="preserve"> </w:t>
            </w:r>
          </w:p>
        </w:tc>
        <w:tc>
          <w:tcPr>
            <w:tcW w:w="2114" w:type="dxa"/>
          </w:tcPr>
          <w:p w:rsidR="005E39AB" w:rsidRPr="002720C2" w:rsidRDefault="00C85890" w:rsidP="00FB736A">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07.07.2014</w:t>
            </w:r>
          </w:p>
        </w:tc>
      </w:tr>
      <w:tr w:rsidR="005E39AB" w:rsidRPr="002720C2" w:rsidTr="005E3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005E39AB" w:rsidRPr="002720C2" w:rsidRDefault="005E39AB" w:rsidP="005E39AB">
            <w:pPr>
              <w:pStyle w:val="PlainText"/>
              <w:rPr>
                <w:rFonts w:asciiTheme="minorHAnsi" w:hAnsiTheme="minorHAnsi"/>
                <w:szCs w:val="22"/>
                <w:lang w:val="en-GB"/>
              </w:rPr>
            </w:pPr>
            <w:r w:rsidRPr="002720C2">
              <w:rPr>
                <w:rFonts w:asciiTheme="minorHAnsi" w:eastAsia="Times New Roman" w:hAnsiTheme="minorHAnsi" w:cs="Times New Roman"/>
                <w:szCs w:val="22"/>
                <w:lang w:val="en-GB" w:eastAsia="lt-LT"/>
              </w:rPr>
              <w:t xml:space="preserve">Dalia </w:t>
            </w:r>
            <w:proofErr w:type="spellStart"/>
            <w:r w:rsidRPr="002720C2">
              <w:rPr>
                <w:rFonts w:asciiTheme="minorHAnsi" w:eastAsia="Times New Roman" w:hAnsiTheme="minorHAnsi" w:cs="Times New Roman"/>
                <w:szCs w:val="22"/>
                <w:lang w:val="en-GB" w:eastAsia="lt-LT"/>
              </w:rPr>
              <w:t>Gailevičiūtė</w:t>
            </w:r>
            <w:proofErr w:type="spellEnd"/>
            <w:r w:rsidRPr="002720C2">
              <w:rPr>
                <w:rFonts w:asciiTheme="minorHAnsi" w:eastAsia="Times New Roman" w:hAnsiTheme="minorHAnsi" w:cs="Times New Roman"/>
                <w:szCs w:val="22"/>
                <w:lang w:val="en-GB" w:eastAsia="lt-LT"/>
              </w:rPr>
              <w:t xml:space="preserve"> </w:t>
            </w:r>
          </w:p>
        </w:tc>
        <w:tc>
          <w:tcPr>
            <w:tcW w:w="4838" w:type="dxa"/>
          </w:tcPr>
          <w:p w:rsidR="002B6875" w:rsidRPr="002720C2" w:rsidRDefault="002B6875" w:rsidP="00FB736A">
            <w:pPr>
              <w:pStyle w:val="PlainTex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Cs/>
                <w:szCs w:val="22"/>
                <w:lang w:val="en-GB"/>
              </w:rPr>
            </w:pPr>
            <w:r w:rsidRPr="002720C2">
              <w:rPr>
                <w:rFonts w:asciiTheme="majorHAnsi" w:eastAsia="Times New Roman" w:hAnsiTheme="majorHAnsi" w:cs="Times New Roman"/>
                <w:bCs/>
                <w:szCs w:val="22"/>
                <w:lang w:val="en-GB"/>
              </w:rPr>
              <w:t>European Social Fund Agency</w:t>
            </w:r>
            <w:r w:rsidR="007D2ED2" w:rsidRPr="002720C2">
              <w:rPr>
                <w:rFonts w:asciiTheme="majorHAnsi" w:eastAsia="Times New Roman" w:hAnsiTheme="majorHAnsi" w:cs="Times New Roman"/>
                <w:bCs/>
                <w:szCs w:val="22"/>
                <w:lang w:val="en-GB"/>
              </w:rPr>
              <w:t>,</w:t>
            </w:r>
            <w:r w:rsidRPr="002720C2">
              <w:rPr>
                <w:rFonts w:asciiTheme="majorHAnsi" w:eastAsia="Times New Roman" w:hAnsiTheme="majorHAnsi" w:cs="Times New Roman"/>
                <w:bCs/>
                <w:szCs w:val="22"/>
                <w:lang w:val="en-GB"/>
              </w:rPr>
              <w:t xml:space="preserve"> </w:t>
            </w:r>
          </w:p>
          <w:p w:rsidR="005E39AB" w:rsidRPr="002720C2" w:rsidRDefault="005E39AB" w:rsidP="00FB736A">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Fonts w:asciiTheme="majorHAnsi" w:eastAsia="Times New Roman" w:hAnsiTheme="majorHAnsi" w:cs="Times New Roman"/>
                <w:szCs w:val="22"/>
                <w:lang w:val="en-GB" w:eastAsia="lt-LT"/>
              </w:rPr>
              <w:t xml:space="preserve">(8 5) 241 3182 </w:t>
            </w:r>
            <w:hyperlink r:id="rId19" w:history="1">
              <w:r w:rsidRPr="002720C2">
                <w:rPr>
                  <w:rStyle w:val="Hyperlink"/>
                  <w:rFonts w:asciiTheme="majorHAnsi" w:eastAsia="Times New Roman" w:hAnsiTheme="majorHAnsi" w:cs="Times New Roman"/>
                  <w:szCs w:val="22"/>
                  <w:lang w:val="en-GB" w:eastAsia="lt-LT"/>
                </w:rPr>
                <w:t>dalia.gaileviciute@esf.lt</w:t>
              </w:r>
            </w:hyperlink>
          </w:p>
        </w:tc>
        <w:tc>
          <w:tcPr>
            <w:tcW w:w="2114" w:type="dxa"/>
          </w:tcPr>
          <w:p w:rsidR="005E39AB" w:rsidRPr="002720C2" w:rsidRDefault="00C85890" w:rsidP="00C85890">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08.07.2014</w:t>
            </w:r>
          </w:p>
        </w:tc>
      </w:tr>
      <w:tr w:rsidR="005E39AB" w:rsidRPr="002720C2" w:rsidTr="005E3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005E39AB" w:rsidRPr="002720C2" w:rsidRDefault="005E39AB" w:rsidP="005E39AB">
            <w:pPr>
              <w:pStyle w:val="PlainText"/>
              <w:rPr>
                <w:rFonts w:asciiTheme="minorHAnsi" w:hAnsiTheme="minorHAnsi"/>
                <w:szCs w:val="22"/>
                <w:lang w:val="en-GB"/>
              </w:rPr>
            </w:pPr>
            <w:r w:rsidRPr="002720C2">
              <w:rPr>
                <w:rFonts w:asciiTheme="minorHAnsi" w:hAnsiTheme="minorHAnsi"/>
                <w:szCs w:val="22"/>
                <w:lang w:val="en-GB"/>
              </w:rPr>
              <w:t xml:space="preserve">Kristina </w:t>
            </w:r>
            <w:proofErr w:type="spellStart"/>
            <w:r w:rsidRPr="002720C2">
              <w:rPr>
                <w:rFonts w:asciiTheme="minorHAnsi" w:hAnsiTheme="minorHAnsi"/>
                <w:szCs w:val="22"/>
                <w:lang w:val="en-GB"/>
              </w:rPr>
              <w:t>Tylaitė</w:t>
            </w:r>
            <w:proofErr w:type="spellEnd"/>
            <w:r w:rsidRPr="002720C2">
              <w:rPr>
                <w:rFonts w:asciiTheme="minorHAnsi" w:hAnsiTheme="minorHAnsi"/>
                <w:szCs w:val="22"/>
                <w:lang w:val="en-GB"/>
              </w:rPr>
              <w:t xml:space="preserve"> </w:t>
            </w:r>
          </w:p>
        </w:tc>
        <w:tc>
          <w:tcPr>
            <w:tcW w:w="4838" w:type="dxa"/>
          </w:tcPr>
          <w:p w:rsidR="005E39AB" w:rsidRPr="002720C2" w:rsidRDefault="007D2ED2" w:rsidP="007D2ED2">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Fonts w:asciiTheme="majorHAnsi" w:hAnsiTheme="majorHAnsi"/>
                <w:lang w:val="en-GB"/>
              </w:rPr>
              <w:t xml:space="preserve">Public Institution </w:t>
            </w:r>
            <w:proofErr w:type="spellStart"/>
            <w:r w:rsidRPr="002720C2">
              <w:rPr>
                <w:rFonts w:asciiTheme="majorHAnsi" w:hAnsiTheme="majorHAnsi"/>
                <w:lang w:val="en-GB"/>
              </w:rPr>
              <w:t>Maisto</w:t>
            </w:r>
            <w:proofErr w:type="spellEnd"/>
            <w:r w:rsidRPr="002720C2">
              <w:rPr>
                <w:rFonts w:asciiTheme="majorHAnsi" w:hAnsiTheme="majorHAnsi"/>
                <w:lang w:val="en-GB"/>
              </w:rPr>
              <w:t xml:space="preserve"> </w:t>
            </w:r>
            <w:proofErr w:type="spellStart"/>
            <w:r w:rsidRPr="002720C2">
              <w:rPr>
                <w:rFonts w:asciiTheme="majorHAnsi" w:hAnsiTheme="majorHAnsi"/>
                <w:lang w:val="en-GB"/>
              </w:rPr>
              <w:t>Bankas</w:t>
            </w:r>
            <w:proofErr w:type="spellEnd"/>
            <w:r w:rsidR="005E39AB" w:rsidRPr="002720C2">
              <w:rPr>
                <w:rFonts w:asciiTheme="majorHAnsi" w:hAnsiTheme="majorHAnsi"/>
                <w:szCs w:val="22"/>
                <w:lang w:val="en-GB"/>
              </w:rPr>
              <w:t xml:space="preserve">, tel. 8 655 53284, 8-5 2627675, </w:t>
            </w:r>
            <w:hyperlink r:id="rId20" w:history="1">
              <w:r w:rsidR="005E39AB" w:rsidRPr="002720C2">
                <w:rPr>
                  <w:rStyle w:val="Hyperlink"/>
                  <w:rFonts w:asciiTheme="majorHAnsi" w:hAnsiTheme="majorHAnsi"/>
                  <w:szCs w:val="22"/>
                  <w:lang w:val="en-GB"/>
                </w:rPr>
                <w:t>kristina@maistobankas.lt</w:t>
              </w:r>
            </w:hyperlink>
          </w:p>
        </w:tc>
        <w:tc>
          <w:tcPr>
            <w:tcW w:w="2114" w:type="dxa"/>
          </w:tcPr>
          <w:p w:rsidR="005E39AB" w:rsidRPr="002720C2" w:rsidRDefault="00C85890" w:rsidP="00FB736A">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08.07.2014</w:t>
            </w:r>
          </w:p>
          <w:p w:rsidR="005E39AB" w:rsidRPr="002720C2" w:rsidRDefault="005E39AB" w:rsidP="00FB736A">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p>
        </w:tc>
      </w:tr>
      <w:tr w:rsidR="005E39AB" w:rsidRPr="002720C2" w:rsidTr="005E3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005E39AB" w:rsidRPr="002720C2" w:rsidRDefault="005E39AB" w:rsidP="005E39AB">
            <w:pPr>
              <w:pStyle w:val="PlainText"/>
              <w:rPr>
                <w:rFonts w:asciiTheme="minorHAnsi" w:hAnsiTheme="minorHAnsi"/>
                <w:szCs w:val="22"/>
                <w:lang w:val="en-GB"/>
              </w:rPr>
            </w:pPr>
            <w:proofErr w:type="spellStart"/>
            <w:r w:rsidRPr="002720C2">
              <w:rPr>
                <w:rFonts w:asciiTheme="minorHAnsi" w:hAnsiTheme="minorHAnsi"/>
                <w:szCs w:val="22"/>
                <w:lang w:val="en-GB"/>
              </w:rPr>
              <w:t>Rimantė</w:t>
            </w:r>
            <w:proofErr w:type="spellEnd"/>
            <w:r w:rsidRPr="002720C2">
              <w:rPr>
                <w:rFonts w:asciiTheme="minorHAnsi" w:hAnsiTheme="minorHAnsi"/>
                <w:szCs w:val="22"/>
                <w:lang w:val="en-GB"/>
              </w:rPr>
              <w:t xml:space="preserve"> </w:t>
            </w:r>
            <w:proofErr w:type="spellStart"/>
            <w:r w:rsidRPr="002720C2">
              <w:rPr>
                <w:rFonts w:asciiTheme="minorHAnsi" w:hAnsiTheme="minorHAnsi"/>
                <w:szCs w:val="22"/>
                <w:lang w:val="en-GB"/>
              </w:rPr>
              <w:t>Levickienė</w:t>
            </w:r>
            <w:proofErr w:type="spellEnd"/>
            <w:r w:rsidRPr="002720C2">
              <w:rPr>
                <w:rFonts w:asciiTheme="minorHAnsi" w:hAnsiTheme="minorHAnsi"/>
                <w:szCs w:val="22"/>
                <w:lang w:val="en-GB"/>
              </w:rPr>
              <w:t xml:space="preserve"> </w:t>
            </w:r>
          </w:p>
        </w:tc>
        <w:tc>
          <w:tcPr>
            <w:tcW w:w="4838" w:type="dxa"/>
          </w:tcPr>
          <w:p w:rsidR="005E39AB" w:rsidRPr="002720C2" w:rsidRDefault="007D2ED2" w:rsidP="007D2ED2">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Style w:val="hps"/>
                <w:rFonts w:asciiTheme="majorHAnsi" w:hAnsiTheme="majorHAnsi"/>
                <w:lang w:val="en-GB"/>
              </w:rPr>
              <w:t>Social</w:t>
            </w:r>
            <w:r w:rsidRPr="002720C2">
              <w:rPr>
                <w:rFonts w:asciiTheme="majorHAnsi" w:hAnsiTheme="majorHAnsi"/>
                <w:lang w:val="en-GB"/>
              </w:rPr>
              <w:t xml:space="preserve"> </w:t>
            </w:r>
            <w:r w:rsidRPr="002720C2">
              <w:rPr>
                <w:rStyle w:val="hps"/>
                <w:rFonts w:asciiTheme="majorHAnsi" w:hAnsiTheme="majorHAnsi"/>
                <w:lang w:val="en-GB"/>
              </w:rPr>
              <w:t>Welfare</w:t>
            </w:r>
            <w:r w:rsidRPr="002720C2">
              <w:rPr>
                <w:rFonts w:asciiTheme="majorHAnsi" w:hAnsiTheme="majorHAnsi"/>
                <w:lang w:val="en-GB"/>
              </w:rPr>
              <w:t xml:space="preserve"> </w:t>
            </w:r>
            <w:r w:rsidRPr="002720C2">
              <w:rPr>
                <w:rStyle w:val="hps"/>
                <w:rFonts w:asciiTheme="majorHAnsi" w:hAnsiTheme="majorHAnsi"/>
                <w:lang w:val="en-GB"/>
              </w:rPr>
              <w:t xml:space="preserve">Department of </w:t>
            </w:r>
            <w:proofErr w:type="spellStart"/>
            <w:r w:rsidRPr="002720C2">
              <w:rPr>
                <w:rStyle w:val="hps"/>
                <w:rFonts w:asciiTheme="majorHAnsi" w:hAnsiTheme="majorHAnsi"/>
                <w:lang w:val="en-GB"/>
              </w:rPr>
              <w:t>Telšiai</w:t>
            </w:r>
            <w:proofErr w:type="spellEnd"/>
            <w:r w:rsidRPr="002720C2">
              <w:rPr>
                <w:rStyle w:val="hps"/>
                <w:rFonts w:asciiTheme="majorHAnsi" w:hAnsiTheme="majorHAnsi"/>
                <w:lang w:val="en-GB"/>
              </w:rPr>
              <w:t xml:space="preserve"> District</w:t>
            </w:r>
            <w:r w:rsidRPr="002720C2">
              <w:rPr>
                <w:rFonts w:asciiTheme="majorHAnsi" w:hAnsiTheme="majorHAnsi"/>
                <w:lang w:val="en-GB"/>
              </w:rPr>
              <w:t xml:space="preserve"> </w:t>
            </w:r>
            <w:r w:rsidRPr="002720C2">
              <w:rPr>
                <w:rStyle w:val="hps"/>
                <w:rFonts w:asciiTheme="majorHAnsi" w:hAnsiTheme="majorHAnsi"/>
                <w:lang w:val="en-GB"/>
              </w:rPr>
              <w:t>Municipality</w:t>
            </w:r>
            <w:r w:rsidRPr="002720C2">
              <w:rPr>
                <w:rFonts w:asciiTheme="majorHAnsi" w:hAnsiTheme="majorHAnsi"/>
                <w:szCs w:val="22"/>
                <w:lang w:val="en-GB"/>
              </w:rPr>
              <w:t xml:space="preserve">, </w:t>
            </w:r>
            <w:r w:rsidR="005E39AB" w:rsidRPr="002720C2">
              <w:rPr>
                <w:rFonts w:asciiTheme="majorHAnsi" w:hAnsiTheme="majorHAnsi"/>
                <w:szCs w:val="22"/>
                <w:lang w:val="en-GB"/>
              </w:rPr>
              <w:t xml:space="preserve">tel. 8-444-53895, </w:t>
            </w:r>
            <w:hyperlink r:id="rId21" w:history="1">
              <w:r w:rsidR="005E39AB" w:rsidRPr="002720C2">
                <w:rPr>
                  <w:rStyle w:val="Hyperlink"/>
                  <w:rFonts w:asciiTheme="majorHAnsi" w:hAnsiTheme="majorHAnsi"/>
                  <w:szCs w:val="22"/>
                  <w:lang w:val="en-GB"/>
                </w:rPr>
                <w:t>Rimante.levickiene@telsiai.lt</w:t>
              </w:r>
            </w:hyperlink>
          </w:p>
        </w:tc>
        <w:tc>
          <w:tcPr>
            <w:tcW w:w="2114" w:type="dxa"/>
          </w:tcPr>
          <w:p w:rsidR="007D2ED2" w:rsidRPr="002720C2" w:rsidRDefault="00C85890" w:rsidP="007D2ED2">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09.07.2014</w:t>
            </w:r>
            <w:r w:rsidR="005E39AB" w:rsidRPr="002720C2">
              <w:rPr>
                <w:rFonts w:asciiTheme="majorHAnsi" w:hAnsiTheme="majorHAnsi"/>
                <w:szCs w:val="22"/>
                <w:lang w:val="en-GB"/>
              </w:rPr>
              <w:t xml:space="preserve"> </w:t>
            </w:r>
          </w:p>
          <w:p w:rsidR="005E39AB" w:rsidRPr="002720C2" w:rsidRDefault="005E39AB" w:rsidP="007D2ED2">
            <w:pPr>
              <w:pStyle w:val="PlainText"/>
              <w:cnfStyle w:val="000000100000" w:firstRow="0" w:lastRow="0" w:firstColumn="0" w:lastColumn="0" w:oddVBand="0" w:evenVBand="0" w:oddHBand="1" w:evenHBand="0"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w:t>
            </w:r>
            <w:r w:rsidR="007D2ED2" w:rsidRPr="002720C2">
              <w:rPr>
                <w:rFonts w:asciiTheme="majorHAnsi" w:hAnsiTheme="majorHAnsi"/>
                <w:szCs w:val="22"/>
                <w:lang w:val="en-GB"/>
              </w:rPr>
              <w:t>by telephone</w:t>
            </w:r>
            <w:r w:rsidRPr="002720C2">
              <w:rPr>
                <w:rFonts w:asciiTheme="majorHAnsi" w:hAnsiTheme="majorHAnsi"/>
                <w:szCs w:val="22"/>
                <w:lang w:val="en-GB"/>
              </w:rPr>
              <w:t>)</w:t>
            </w:r>
          </w:p>
        </w:tc>
      </w:tr>
      <w:tr w:rsidR="005E39AB" w:rsidRPr="002720C2" w:rsidTr="005E3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005E39AB" w:rsidRPr="002720C2" w:rsidRDefault="005E39AB" w:rsidP="005E39AB">
            <w:pPr>
              <w:pStyle w:val="PlainText"/>
              <w:rPr>
                <w:rFonts w:asciiTheme="minorHAnsi" w:hAnsiTheme="minorHAnsi"/>
                <w:szCs w:val="22"/>
                <w:lang w:val="en-GB"/>
              </w:rPr>
            </w:pPr>
            <w:proofErr w:type="spellStart"/>
            <w:r w:rsidRPr="002720C2">
              <w:rPr>
                <w:rFonts w:asciiTheme="minorHAnsi" w:hAnsiTheme="minorHAnsi"/>
                <w:szCs w:val="22"/>
                <w:lang w:val="en-GB"/>
              </w:rPr>
              <w:t>Skirmantė</w:t>
            </w:r>
            <w:proofErr w:type="spellEnd"/>
            <w:r w:rsidRPr="002720C2">
              <w:rPr>
                <w:rFonts w:asciiTheme="minorHAnsi" w:hAnsiTheme="minorHAnsi"/>
                <w:szCs w:val="22"/>
                <w:lang w:val="en-GB"/>
              </w:rPr>
              <w:t xml:space="preserve"> </w:t>
            </w:r>
            <w:proofErr w:type="spellStart"/>
            <w:r w:rsidRPr="002720C2">
              <w:rPr>
                <w:rFonts w:asciiTheme="minorHAnsi" w:hAnsiTheme="minorHAnsi"/>
                <w:szCs w:val="22"/>
                <w:lang w:val="en-GB"/>
              </w:rPr>
              <w:t>Kondratas</w:t>
            </w:r>
            <w:proofErr w:type="spellEnd"/>
            <w:r w:rsidRPr="002720C2">
              <w:rPr>
                <w:rFonts w:asciiTheme="minorHAnsi" w:hAnsiTheme="minorHAnsi"/>
                <w:szCs w:val="22"/>
                <w:lang w:val="en-GB"/>
              </w:rPr>
              <w:t xml:space="preserve"> </w:t>
            </w:r>
          </w:p>
        </w:tc>
        <w:tc>
          <w:tcPr>
            <w:tcW w:w="4838" w:type="dxa"/>
          </w:tcPr>
          <w:p w:rsidR="007D2ED2" w:rsidRPr="002720C2" w:rsidRDefault="007D2ED2" w:rsidP="005E39AB">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Style w:val="hps"/>
                <w:rFonts w:asciiTheme="majorHAnsi" w:hAnsiTheme="majorHAnsi"/>
                <w:lang w:val="en-GB"/>
              </w:rPr>
              <w:t>National</w:t>
            </w:r>
            <w:r w:rsidRPr="002720C2">
              <w:rPr>
                <w:rFonts w:asciiTheme="majorHAnsi" w:hAnsiTheme="majorHAnsi"/>
                <w:lang w:val="en-GB"/>
              </w:rPr>
              <w:t xml:space="preserve"> </w:t>
            </w:r>
            <w:r w:rsidRPr="002720C2">
              <w:rPr>
                <w:rStyle w:val="hps"/>
                <w:rFonts w:asciiTheme="majorHAnsi" w:hAnsiTheme="majorHAnsi"/>
                <w:lang w:val="en-GB"/>
              </w:rPr>
              <w:t>Anti-Poverty</w:t>
            </w:r>
            <w:r w:rsidRPr="002720C2">
              <w:rPr>
                <w:rFonts w:asciiTheme="majorHAnsi" w:hAnsiTheme="majorHAnsi"/>
                <w:lang w:val="en-GB"/>
              </w:rPr>
              <w:t xml:space="preserve"> Organisation </w:t>
            </w:r>
            <w:r w:rsidRPr="002720C2">
              <w:rPr>
                <w:rStyle w:val="hps"/>
                <w:rFonts w:asciiTheme="majorHAnsi" w:hAnsiTheme="majorHAnsi"/>
                <w:lang w:val="en-GB"/>
              </w:rPr>
              <w:t>Network,</w:t>
            </w:r>
          </w:p>
          <w:p w:rsidR="005E39AB" w:rsidRPr="002720C2" w:rsidRDefault="005E39AB" w:rsidP="005E39AB">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 xml:space="preserve">tel. 8-678-44395, </w:t>
            </w:r>
            <w:hyperlink r:id="rId22" w:history="1">
              <w:r w:rsidRPr="002720C2">
                <w:rPr>
                  <w:rStyle w:val="Hyperlink"/>
                  <w:rFonts w:asciiTheme="majorHAnsi" w:hAnsiTheme="majorHAnsi"/>
                  <w:szCs w:val="22"/>
                  <w:lang w:val="en-GB"/>
                </w:rPr>
                <w:t>info@stopskurdas.lt</w:t>
              </w:r>
            </w:hyperlink>
          </w:p>
        </w:tc>
        <w:tc>
          <w:tcPr>
            <w:tcW w:w="2114" w:type="dxa"/>
          </w:tcPr>
          <w:p w:rsidR="005E39AB" w:rsidRPr="002720C2" w:rsidRDefault="00C85890" w:rsidP="00C85890">
            <w:pPr>
              <w:pStyle w:val="PlainText"/>
              <w:cnfStyle w:val="000000010000" w:firstRow="0" w:lastRow="0" w:firstColumn="0" w:lastColumn="0" w:oddVBand="0" w:evenVBand="0" w:oddHBand="0" w:evenHBand="1" w:firstRowFirstColumn="0" w:firstRowLastColumn="0" w:lastRowFirstColumn="0" w:lastRowLastColumn="0"/>
              <w:rPr>
                <w:rFonts w:asciiTheme="majorHAnsi" w:hAnsiTheme="majorHAnsi"/>
                <w:szCs w:val="22"/>
                <w:lang w:val="en-GB"/>
              </w:rPr>
            </w:pPr>
            <w:r w:rsidRPr="002720C2">
              <w:rPr>
                <w:rFonts w:asciiTheme="majorHAnsi" w:hAnsiTheme="majorHAnsi"/>
                <w:szCs w:val="22"/>
                <w:lang w:val="en-GB"/>
              </w:rPr>
              <w:t>09.07.2014</w:t>
            </w:r>
          </w:p>
        </w:tc>
      </w:tr>
    </w:tbl>
    <w:p w:rsidR="00FB736A" w:rsidRPr="002720C2" w:rsidRDefault="00FB736A" w:rsidP="00FB736A">
      <w:pPr>
        <w:pStyle w:val="Text"/>
        <w:ind w:left="0"/>
        <w:rPr>
          <w:noProof w:val="0"/>
          <w:color w:val="036575" w:themeColor="accent5" w:themeTint="E6"/>
          <w:lang w:val="en-GB"/>
        </w:rPr>
      </w:pPr>
    </w:p>
    <w:p w:rsidR="00A52582" w:rsidRPr="002720C2" w:rsidRDefault="00A52582" w:rsidP="00A52582">
      <w:pPr>
        <w:pStyle w:val="Text"/>
        <w:rPr>
          <w:noProof w:val="0"/>
          <w:lang w:val="en-GB"/>
        </w:rPr>
      </w:pPr>
    </w:p>
    <w:p w:rsidR="00106629" w:rsidRPr="002720C2" w:rsidRDefault="00106629" w:rsidP="007C7AD4">
      <w:pPr>
        <w:spacing w:after="200"/>
        <w:rPr>
          <w:rStyle w:val="Heading1Char"/>
          <w:lang w:val="en-GB"/>
        </w:rPr>
      </w:pPr>
    </w:p>
    <w:sectPr w:rsidR="00106629" w:rsidRPr="002720C2" w:rsidSect="008D4A04">
      <w:headerReference w:type="default" r:id="rId23"/>
      <w:footerReference w:type="default" r:id="rId24"/>
      <w:pgSz w:w="11906" w:h="16838"/>
      <w:pgMar w:top="567" w:right="743" w:bottom="522" w:left="1077" w:header="907" w:footer="39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71D1" w15:done="0"/>
  <w15:commentEx w15:paraId="7C33589B" w15:done="0"/>
  <w15:commentEx w15:paraId="58DB31E9" w15:done="0"/>
  <w15:commentEx w15:paraId="6C169E5E" w15:done="0"/>
  <w15:commentEx w15:paraId="3AC67D7A" w15:done="0"/>
  <w15:commentEx w15:paraId="5A0EC146" w15:done="0"/>
  <w15:commentEx w15:paraId="33D9F1C3" w15:done="0"/>
  <w15:commentEx w15:paraId="6BC87893" w15:done="0"/>
  <w15:commentEx w15:paraId="04C695A5" w15:done="0"/>
  <w15:commentEx w15:paraId="62DE4B07" w15:done="0"/>
  <w15:commentEx w15:paraId="758975B4" w15:done="0"/>
  <w15:commentEx w15:paraId="4E9CB592" w15:done="0"/>
  <w15:commentEx w15:paraId="3564A362" w15:done="0"/>
  <w15:commentEx w15:paraId="70DCAF81" w15:done="0"/>
  <w15:commentEx w15:paraId="5D45DDF3" w15:done="0"/>
  <w15:commentEx w15:paraId="5C60974E" w15:done="0"/>
  <w15:commentEx w15:paraId="6C210BDF" w15:done="0"/>
  <w15:commentEx w15:paraId="4AD16934" w15:done="0"/>
  <w15:commentEx w15:paraId="5EBDC36F" w15:done="0"/>
  <w15:commentEx w15:paraId="03EEE360" w15:done="0"/>
  <w15:commentEx w15:paraId="4589925F" w15:done="0"/>
  <w15:commentEx w15:paraId="52A82FF9" w15:done="0"/>
  <w15:commentEx w15:paraId="49C116FC" w15:done="0"/>
  <w15:commentEx w15:paraId="4EC45DEB" w15:done="0"/>
  <w15:commentEx w15:paraId="76BAC50C" w15:done="0"/>
  <w15:commentEx w15:paraId="7626552B" w15:done="0"/>
  <w15:commentEx w15:paraId="239D0831" w15:done="0"/>
  <w15:commentEx w15:paraId="0F82F248" w15:done="0"/>
  <w15:commentEx w15:paraId="4CABDF21" w15:done="0"/>
  <w15:commentEx w15:paraId="789BC276" w15:done="0"/>
  <w15:commentEx w15:paraId="14DB0FC9" w15:done="0"/>
  <w15:commentEx w15:paraId="32F94FE9" w15:done="0"/>
  <w15:commentEx w15:paraId="18D75F65" w15:done="0"/>
  <w15:commentEx w15:paraId="52D78476" w15:done="0"/>
  <w15:commentEx w15:paraId="19735B45" w15:done="0"/>
  <w15:commentEx w15:paraId="798114AB" w15:done="0"/>
  <w15:commentEx w15:paraId="6802E392" w15:done="0"/>
  <w15:commentEx w15:paraId="54FD2D21" w15:done="0"/>
  <w15:commentEx w15:paraId="51E15731" w15:done="0"/>
  <w15:commentEx w15:paraId="4CDAD601" w15:done="0"/>
  <w15:commentEx w15:paraId="0250D117" w15:done="0"/>
  <w15:commentEx w15:paraId="717201F8" w15:done="0"/>
  <w15:commentEx w15:paraId="3DC28427" w15:done="0"/>
  <w15:commentEx w15:paraId="6A549CB7" w15:done="0"/>
  <w15:commentEx w15:paraId="4B0CFC6F" w15:done="0"/>
  <w15:commentEx w15:paraId="36855FDA" w15:done="0"/>
  <w15:commentEx w15:paraId="4C3D1400" w15:done="0"/>
  <w15:commentEx w15:paraId="5E35307F" w15:done="0"/>
  <w15:commentEx w15:paraId="39925293" w15:done="0"/>
  <w15:commentEx w15:paraId="3D76B475" w15:done="0"/>
  <w15:commentEx w15:paraId="0DF5CB4B" w15:done="0"/>
  <w15:commentEx w15:paraId="0C32D574" w15:done="0"/>
  <w15:commentEx w15:paraId="672F052D" w15:done="0"/>
  <w15:commentEx w15:paraId="289DE47A" w15:done="0"/>
  <w15:commentEx w15:paraId="64A4F3B7" w15:done="0"/>
  <w15:commentEx w15:paraId="2984A71B" w15:done="0"/>
  <w15:commentEx w15:paraId="0C17428C" w15:done="0"/>
  <w15:commentEx w15:paraId="013547B0" w15:done="0"/>
  <w15:commentEx w15:paraId="5F7380EC" w15:done="0"/>
  <w15:commentEx w15:paraId="54925789" w15:done="0"/>
  <w15:commentEx w15:paraId="29C9CAAA" w15:done="0"/>
  <w15:commentEx w15:paraId="7783F2D8" w15:done="0"/>
  <w15:commentEx w15:paraId="470E54CA" w15:done="0"/>
  <w15:commentEx w15:paraId="691E8A4B" w15:done="0"/>
  <w15:commentEx w15:paraId="38344572" w15:done="0"/>
  <w15:commentEx w15:paraId="35844E1B" w15:done="0"/>
  <w15:commentEx w15:paraId="19BA744D" w15:done="0"/>
  <w15:commentEx w15:paraId="42DFDB2B" w15:done="0"/>
  <w15:commentEx w15:paraId="7393D357" w15:done="0"/>
  <w15:commentEx w15:paraId="61D09FF7" w15:done="0"/>
  <w15:commentEx w15:paraId="7C3A6B4E" w15:done="0"/>
  <w15:commentEx w15:paraId="07741CBB" w15:done="0"/>
  <w15:commentEx w15:paraId="48415807" w15:done="0"/>
  <w15:commentEx w15:paraId="6214CD5A" w15:done="0"/>
  <w15:commentEx w15:paraId="6716EE63" w15:done="0"/>
  <w15:commentEx w15:paraId="66CA223A" w15:done="0"/>
  <w15:commentEx w15:paraId="7B1DB424" w15:done="0"/>
  <w15:commentEx w15:paraId="450098C8" w15:done="0"/>
  <w15:commentEx w15:paraId="55F12014" w15:done="0"/>
  <w15:commentEx w15:paraId="2416AFB7" w15:done="0"/>
  <w15:commentEx w15:paraId="649ABFDB" w15:done="0"/>
  <w15:commentEx w15:paraId="2C2F436A" w15:done="0"/>
  <w15:commentEx w15:paraId="38D54A80" w15:done="0"/>
  <w15:commentEx w15:paraId="222529EF" w15:done="0"/>
  <w15:commentEx w15:paraId="5F7DF198" w15:done="0"/>
  <w15:commentEx w15:paraId="1B870DC6" w15:done="0"/>
  <w15:commentEx w15:paraId="0F2E7415" w15:done="0"/>
  <w15:commentEx w15:paraId="72434E5E" w15:done="0"/>
  <w15:commentEx w15:paraId="512C13DE" w15:done="0"/>
  <w15:commentEx w15:paraId="47A1D71B" w15:done="0"/>
  <w15:commentEx w15:paraId="559E2472" w15:done="0"/>
  <w15:commentEx w15:paraId="6049877F" w15:done="0"/>
  <w15:commentEx w15:paraId="74E2AE58" w15:done="0"/>
  <w15:commentEx w15:paraId="3FF65C9C" w15:done="0"/>
  <w15:commentEx w15:paraId="5EAAC2A0" w15:done="0"/>
  <w15:commentEx w15:paraId="56B75048" w15:done="0"/>
  <w15:commentEx w15:paraId="4C6BC341" w15:done="0"/>
  <w15:commentEx w15:paraId="1FF327DF" w15:done="0"/>
  <w15:commentEx w15:paraId="53053008" w15:done="0"/>
  <w15:commentEx w15:paraId="54E014DA" w15:done="0"/>
  <w15:commentEx w15:paraId="1F4DB881" w15:done="0"/>
  <w15:commentEx w15:paraId="4B3D62E7" w15:done="0"/>
  <w15:commentEx w15:paraId="3F1733CE" w15:done="0"/>
  <w15:commentEx w15:paraId="4B56CD40" w15:done="0"/>
  <w15:commentEx w15:paraId="0E917EBF" w15:done="0"/>
  <w15:commentEx w15:paraId="4E5598A5" w15:done="0"/>
  <w15:commentEx w15:paraId="4A7BB2C9" w15:done="0"/>
  <w15:commentEx w15:paraId="2F34A8F3" w15:done="0"/>
  <w15:commentEx w15:paraId="6D86C2E6" w15:done="0"/>
  <w15:commentEx w15:paraId="445C7AEF" w15:done="0"/>
  <w15:commentEx w15:paraId="0EB058C0" w15:done="0"/>
  <w15:commentEx w15:paraId="29F76F04" w15:done="0"/>
  <w15:commentEx w15:paraId="4C9A08C0" w15:done="0"/>
  <w15:commentEx w15:paraId="5C3363D6" w15:done="0"/>
  <w15:commentEx w15:paraId="4ABEF5BE" w15:done="0"/>
  <w15:commentEx w15:paraId="00116449" w15:done="0"/>
  <w15:commentEx w15:paraId="6FD6200D" w15:done="0"/>
  <w15:commentEx w15:paraId="29FB8DCF" w15:done="0"/>
  <w15:commentEx w15:paraId="3D69475A" w15:done="0"/>
  <w15:commentEx w15:paraId="56D1E6C2" w15:done="0"/>
  <w15:commentEx w15:paraId="1BDC3741" w15:done="0"/>
  <w15:commentEx w15:paraId="4671CD06" w15:done="0"/>
  <w15:commentEx w15:paraId="3D634D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C0" w:rsidRDefault="006832C0" w:rsidP="00CC0457">
      <w:r>
        <w:separator/>
      </w:r>
    </w:p>
    <w:p w:rsidR="006832C0" w:rsidRDefault="006832C0"/>
    <w:p w:rsidR="006832C0" w:rsidRDefault="006832C0"/>
    <w:p w:rsidR="006832C0" w:rsidRDefault="006832C0"/>
    <w:p w:rsidR="006832C0" w:rsidRDefault="006832C0"/>
  </w:endnote>
  <w:endnote w:type="continuationSeparator" w:id="0">
    <w:p w:rsidR="006832C0" w:rsidRDefault="006832C0" w:rsidP="00CC0457">
      <w:r>
        <w:continuationSeparator/>
      </w:r>
    </w:p>
    <w:p w:rsidR="006832C0" w:rsidRDefault="006832C0"/>
    <w:p w:rsidR="006832C0" w:rsidRDefault="006832C0"/>
    <w:p w:rsidR="006832C0" w:rsidRDefault="006832C0"/>
    <w:p w:rsidR="006832C0" w:rsidRDefault="00683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charset w:val="00"/>
    <w:family w:val="roman"/>
    <w:pitch w:val="default"/>
  </w:font>
  <w:font w:name="Arial">
    <w:panose1 w:val="020B0604020202020204"/>
    <w:charset w:val="BA"/>
    <w:family w:val="swiss"/>
    <w:pitch w:val="variable"/>
    <w:sig w:usb0="20002A87" w:usb1="00000000" w:usb2="00000000" w:usb3="00000000" w:csb0="000001FF" w:csb1="00000000"/>
  </w:font>
  <w:font w:name="TimesNewRoman">
    <w:altName w:val="Times New Roman"/>
    <w:panose1 w:val="00000000000000000000"/>
    <w:charset w:val="00"/>
    <w:family w:val="roman"/>
    <w:notTrueType/>
    <w:pitch w:val="default"/>
    <w:sig w:usb0="00000007" w:usb1="09060000" w:usb2="00000010" w:usb3="00000000" w:csb0="0008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858193"/>
      <w:docPartObj>
        <w:docPartGallery w:val="Page Numbers (Bottom of Page)"/>
        <w:docPartUnique/>
      </w:docPartObj>
    </w:sdtPr>
    <w:sdtEndPr>
      <w:rPr>
        <w:noProof/>
      </w:rPr>
    </w:sdtEndPr>
    <w:sdtContent>
      <w:p w:rsidR="00F831FE" w:rsidRDefault="00F831FE">
        <w:pPr>
          <w:pStyle w:val="Footer"/>
          <w:jc w:val="center"/>
        </w:pPr>
        <w:r>
          <w:fldChar w:fldCharType="begin"/>
        </w:r>
        <w:r>
          <w:instrText xml:space="preserve"> PAGE   \* MERGEFORMAT </w:instrText>
        </w:r>
        <w:r>
          <w:fldChar w:fldCharType="separate"/>
        </w:r>
        <w:r w:rsidR="008D4A04">
          <w:rPr>
            <w:noProof/>
          </w:rPr>
          <w:t>2</w:t>
        </w:r>
        <w:r>
          <w:rPr>
            <w:noProof/>
          </w:rPr>
          <w:fldChar w:fldCharType="end"/>
        </w:r>
      </w:p>
    </w:sdtContent>
  </w:sdt>
  <w:p w:rsidR="00F831FE" w:rsidRDefault="00F83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C0" w:rsidRDefault="006832C0" w:rsidP="00CC0457">
      <w:r>
        <w:separator/>
      </w:r>
    </w:p>
  </w:footnote>
  <w:footnote w:type="continuationSeparator" w:id="0">
    <w:p w:rsidR="006832C0" w:rsidRDefault="006832C0" w:rsidP="00CC0457">
      <w:r>
        <w:continuationSeparator/>
      </w:r>
    </w:p>
  </w:footnote>
  <w:footnote w:type="continuationNotice" w:id="1">
    <w:p w:rsidR="006832C0" w:rsidRDefault="006832C0"/>
  </w:footnote>
  <w:footnote w:id="2">
    <w:p w:rsidR="00F831FE" w:rsidRPr="00A144B8" w:rsidRDefault="00F831FE" w:rsidP="009A3528">
      <w:pPr>
        <w:pStyle w:val="FootnoteText"/>
        <w:rPr>
          <w:lang w:val="en-GB"/>
        </w:rPr>
      </w:pPr>
      <w:r>
        <w:rPr>
          <w:rStyle w:val="FootnoteReference"/>
        </w:rPr>
        <w:footnoteRef/>
      </w:r>
      <w:r>
        <w:t xml:space="preserve"> </w:t>
      </w:r>
      <w:r w:rsidRPr="00A144B8">
        <w:rPr>
          <w:rFonts w:eastAsia="Times New Roman" w:cs="Times New Roman"/>
          <w:lang w:val="en-GB"/>
        </w:rPr>
        <w:t>Regulation (EU) No. 223/2014 of the European Parliament and of the Council of 11 March 2014 on the Fund for European Aid to the Most Deprived</w:t>
      </w:r>
      <w:r w:rsidRPr="00A144B8">
        <w:rPr>
          <w:lang w:val="en-GB"/>
        </w:rPr>
        <w:t xml:space="preserve">. </w:t>
      </w:r>
      <w:proofErr w:type="gramStart"/>
      <w:r w:rsidRPr="00A144B8">
        <w:rPr>
          <w:rStyle w:val="Emphasis"/>
          <w:lang w:val="en-GB"/>
        </w:rPr>
        <w:t>Official</w:t>
      </w:r>
      <w:r w:rsidRPr="00A144B8">
        <w:rPr>
          <w:rStyle w:val="st"/>
          <w:lang w:val="en-GB"/>
        </w:rPr>
        <w:t xml:space="preserve"> </w:t>
      </w:r>
      <w:r w:rsidRPr="00A144B8">
        <w:rPr>
          <w:rStyle w:val="st"/>
          <w:i/>
          <w:lang w:val="en-GB"/>
        </w:rPr>
        <w:t xml:space="preserve">Journal of the </w:t>
      </w:r>
      <w:r w:rsidRPr="00A144B8">
        <w:rPr>
          <w:rStyle w:val="Emphasis"/>
          <w:lang w:val="en-GB"/>
        </w:rPr>
        <w:t>European Union</w:t>
      </w:r>
      <w:r w:rsidRPr="00A144B8">
        <w:rPr>
          <w:lang w:val="en-GB"/>
        </w:rPr>
        <w:t>, 12.3.2014.</w:t>
      </w:r>
      <w:proofErr w:type="gramEnd"/>
    </w:p>
  </w:footnote>
  <w:footnote w:id="3">
    <w:p w:rsidR="00F831FE" w:rsidRPr="00A144B8" w:rsidRDefault="00F831FE" w:rsidP="009A3528">
      <w:pPr>
        <w:pStyle w:val="FootnoteText"/>
        <w:jc w:val="both"/>
        <w:rPr>
          <w:i/>
          <w:lang w:val="en-GB"/>
        </w:rPr>
      </w:pPr>
      <w:r w:rsidRPr="00A144B8">
        <w:rPr>
          <w:rStyle w:val="FootnoteReference"/>
          <w:lang w:val="en-GB"/>
        </w:rPr>
        <w:footnoteRef/>
      </w:r>
      <w:r w:rsidRPr="00A144B8">
        <w:rPr>
          <w:lang w:val="en-GB"/>
        </w:rPr>
        <w:t xml:space="preserve"> </w:t>
      </w:r>
      <w:proofErr w:type="gramStart"/>
      <w:r w:rsidRPr="00A144B8">
        <w:rPr>
          <w:lang w:val="en-GB"/>
        </w:rPr>
        <w:t>Resolution No. 55 “On appointment of the authorities responsible for the administration of the Fund for European Aid to the Most Deprived in Lithuania” of 22 January 2014 of the Government of the Republic of Lithuania.</w:t>
      </w:r>
      <w:proofErr w:type="gramEnd"/>
    </w:p>
  </w:footnote>
  <w:footnote w:id="4">
    <w:p w:rsidR="00F831FE" w:rsidRPr="00A144B8" w:rsidRDefault="00F831FE" w:rsidP="009A3528">
      <w:pPr>
        <w:pStyle w:val="Text"/>
        <w:spacing w:after="0"/>
        <w:ind w:left="0"/>
        <w:rPr>
          <w:noProof w:val="0"/>
          <w:sz w:val="20"/>
          <w:szCs w:val="20"/>
          <w:lang w:val="en-GB"/>
        </w:rPr>
      </w:pPr>
      <w:r w:rsidRPr="00A144B8">
        <w:rPr>
          <w:rStyle w:val="FootnoteReference"/>
          <w:noProof w:val="0"/>
          <w:sz w:val="20"/>
          <w:szCs w:val="20"/>
          <w:lang w:val="en-GB"/>
        </w:rPr>
        <w:footnoteRef/>
      </w:r>
      <w:r w:rsidRPr="00A144B8">
        <w:rPr>
          <w:noProof w:val="0"/>
          <w:sz w:val="20"/>
          <w:szCs w:val="20"/>
          <w:lang w:val="en-GB"/>
        </w:rPr>
        <w:t xml:space="preserve"> OP I refers to food and/or basic material assistance operational programme</w:t>
      </w:r>
      <w:r w:rsidRPr="00A144B8">
        <w:rPr>
          <w:rFonts w:cs="EUAlbertina"/>
          <w:noProof w:val="0"/>
          <w:color w:val="000000"/>
          <w:sz w:val="20"/>
          <w:szCs w:val="20"/>
          <w:lang w:val="en-GB"/>
        </w:rPr>
        <w:t xml:space="preserve">, which supports the </w:t>
      </w:r>
      <w:r w:rsidRPr="00A144B8">
        <w:rPr>
          <w:noProof w:val="0"/>
          <w:sz w:val="20"/>
          <w:szCs w:val="20"/>
          <w:lang w:val="en-GB"/>
        </w:rPr>
        <w:t>distribution of food and/or basic material assistance to be provided to the most deprived by, if necessary, applying additional measures</w:t>
      </w:r>
      <w:r w:rsidRPr="00A144B8">
        <w:rPr>
          <w:rFonts w:cs="EUAlbertina"/>
          <w:noProof w:val="0"/>
          <w:color w:val="000000"/>
          <w:sz w:val="20"/>
          <w:szCs w:val="20"/>
          <w:lang w:val="en-GB"/>
        </w:rPr>
        <w:t xml:space="preserve"> aimed at reducing social exclusion of the most deprived persons.</w:t>
      </w:r>
    </w:p>
  </w:footnote>
  <w:footnote w:id="5">
    <w:p w:rsidR="00F831FE" w:rsidRPr="00A144B8" w:rsidRDefault="00F831FE" w:rsidP="00440F15">
      <w:pPr>
        <w:pStyle w:val="FootnoteText"/>
        <w:ind w:left="363"/>
        <w:jc w:val="both"/>
        <w:rPr>
          <w:lang w:val="en-GB"/>
        </w:rPr>
      </w:pPr>
      <w:r w:rsidRPr="00A144B8">
        <w:rPr>
          <w:rStyle w:val="FootnoteReference"/>
          <w:lang w:val="en-GB"/>
        </w:rPr>
        <w:footnoteRef/>
      </w:r>
      <w:r w:rsidRPr="00A144B8">
        <w:rPr>
          <w:lang w:val="en-GB"/>
        </w:rPr>
        <w:t xml:space="preserve"> </w:t>
      </w:r>
      <w:proofErr w:type="gramStart"/>
      <w:r w:rsidRPr="00A144B8">
        <w:rPr>
          <w:lang w:val="en-GB"/>
        </w:rPr>
        <w:t>Regulation (EU) No 223/2014.</w:t>
      </w:r>
      <w:proofErr w:type="gramEnd"/>
    </w:p>
  </w:footnote>
  <w:footnote w:id="6">
    <w:p w:rsidR="00F831FE" w:rsidRPr="00A144B8" w:rsidRDefault="00F831FE" w:rsidP="008D645B">
      <w:pPr>
        <w:autoSpaceDE w:val="0"/>
        <w:autoSpaceDN w:val="0"/>
        <w:adjustRightInd w:val="0"/>
        <w:ind w:left="363"/>
        <w:jc w:val="both"/>
        <w:rPr>
          <w:rFonts w:cs="Calibri"/>
          <w:sz w:val="20"/>
          <w:szCs w:val="20"/>
          <w:lang w:val="en-GB"/>
        </w:rPr>
      </w:pPr>
      <w:r w:rsidRPr="00A144B8">
        <w:rPr>
          <w:rStyle w:val="FootnoteReference"/>
          <w:rFonts w:cs="Calibri"/>
          <w:sz w:val="18"/>
          <w:szCs w:val="18"/>
          <w:lang w:val="en-GB"/>
        </w:rPr>
        <w:footnoteRef/>
      </w:r>
      <w:r w:rsidRPr="00A144B8">
        <w:rPr>
          <w:rFonts w:cs="Calibri"/>
          <w:sz w:val="18"/>
          <w:szCs w:val="18"/>
          <w:lang w:val="en-GB"/>
        </w:rPr>
        <w:t xml:space="preserve"> </w:t>
      </w:r>
      <w:proofErr w:type="gramStart"/>
      <w:r w:rsidRPr="00A144B8">
        <w:rPr>
          <w:rFonts w:cs="Calibri"/>
          <w:sz w:val="20"/>
          <w:szCs w:val="20"/>
          <w:lang w:val="en-GB"/>
        </w:rPr>
        <w:t>European Commission Communication “2020 Europe.</w:t>
      </w:r>
      <w:proofErr w:type="gramEnd"/>
      <w:r w:rsidRPr="00A144B8">
        <w:rPr>
          <w:rFonts w:cs="Calibri"/>
          <w:sz w:val="20"/>
          <w:szCs w:val="20"/>
          <w:lang w:val="en-GB"/>
        </w:rPr>
        <w:t xml:space="preserve"> </w:t>
      </w:r>
      <w:proofErr w:type="gramStart"/>
      <w:r w:rsidRPr="00A144B8">
        <w:rPr>
          <w:rFonts w:cs="Calibri"/>
          <w:sz w:val="20"/>
          <w:szCs w:val="20"/>
          <w:lang w:val="en-GB"/>
        </w:rPr>
        <w:t>A strategy for smart, sustainable and inclusive growth”.</w:t>
      </w:r>
      <w:proofErr w:type="gramEnd"/>
      <w:r w:rsidRPr="00A144B8">
        <w:rPr>
          <w:rFonts w:cs="Calibri"/>
          <w:sz w:val="20"/>
          <w:szCs w:val="20"/>
          <w:lang w:val="en-GB"/>
        </w:rPr>
        <w:t xml:space="preserve"> </w:t>
      </w:r>
      <w:proofErr w:type="gramStart"/>
      <w:r w:rsidRPr="00A144B8">
        <w:rPr>
          <w:rFonts w:cs="Calibri"/>
          <w:sz w:val="20"/>
          <w:szCs w:val="20"/>
          <w:lang w:val="en-GB"/>
        </w:rPr>
        <w:t>COM(</w:t>
      </w:r>
      <w:proofErr w:type="gramEnd"/>
      <w:r w:rsidRPr="00A144B8">
        <w:rPr>
          <w:rFonts w:cs="Calibri"/>
          <w:sz w:val="20"/>
          <w:szCs w:val="20"/>
          <w:lang w:val="en-GB"/>
        </w:rPr>
        <w:t>2010) 2020 final, 13.12.2010.</w:t>
      </w:r>
    </w:p>
  </w:footnote>
  <w:footnote w:id="7">
    <w:p w:rsidR="00F831FE" w:rsidRPr="00A144B8" w:rsidRDefault="00F831FE" w:rsidP="008D645B">
      <w:pPr>
        <w:pStyle w:val="FootnoteText"/>
        <w:ind w:left="363"/>
        <w:jc w:val="both"/>
        <w:rPr>
          <w:lang w:val="en-GB"/>
        </w:rPr>
      </w:pPr>
      <w:r w:rsidRPr="00A144B8">
        <w:rPr>
          <w:rStyle w:val="FootnoteReference"/>
          <w:lang w:val="en-GB"/>
        </w:rPr>
        <w:footnoteRef/>
      </w:r>
      <w:r w:rsidRPr="00A144B8">
        <w:rPr>
          <w:lang w:val="en-GB"/>
        </w:rPr>
        <w:t xml:space="preserve"> </w:t>
      </w:r>
      <w:r w:rsidRPr="00A144B8">
        <w:rPr>
          <w:rFonts w:cs="Calibri"/>
          <w:lang w:val="en-GB"/>
        </w:rPr>
        <w:t xml:space="preserve">European Commission, Communication </w:t>
      </w:r>
      <w:proofErr w:type="gramStart"/>
      <w:r w:rsidRPr="00A144B8">
        <w:rPr>
          <w:lang w:val="en-GB"/>
        </w:rPr>
        <w:t>The</w:t>
      </w:r>
      <w:proofErr w:type="gramEnd"/>
      <w:r w:rsidRPr="00A144B8">
        <w:rPr>
          <w:lang w:val="en-GB"/>
        </w:rPr>
        <w:t xml:space="preserve"> European Platform against Poverty and Social Exclusion: A European framework for social and territorial cohesion”. </w:t>
      </w:r>
      <w:proofErr w:type="gramStart"/>
      <w:r w:rsidRPr="00A144B8">
        <w:rPr>
          <w:lang w:val="en-GB"/>
        </w:rPr>
        <w:t>COM (2010) 0758 final, 16.12.2010.</w:t>
      </w:r>
      <w:proofErr w:type="gramEnd"/>
    </w:p>
  </w:footnote>
  <w:footnote w:id="8">
    <w:p w:rsidR="00F831FE" w:rsidRPr="00A144B8" w:rsidRDefault="00F831FE" w:rsidP="00067CD9">
      <w:pPr>
        <w:pStyle w:val="FootnoteText"/>
        <w:ind w:left="363"/>
        <w:jc w:val="both"/>
        <w:rPr>
          <w:lang w:val="en-GB"/>
        </w:rPr>
      </w:pPr>
      <w:r w:rsidRPr="00A144B8">
        <w:rPr>
          <w:rStyle w:val="FootnoteReference"/>
          <w:lang w:val="en-GB"/>
        </w:rPr>
        <w:footnoteRef/>
      </w:r>
      <w:r w:rsidRPr="00A144B8">
        <w:rPr>
          <w:lang w:val="en-GB"/>
        </w:rPr>
        <w:t xml:space="preserve">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on the European Regional Development Fund, the European Social Fund, the Cohesion Fund and the European Maritime and Fisheries Fund and repealing Council Regulation (EC) No 1083/2006.</w:t>
      </w:r>
    </w:p>
  </w:footnote>
  <w:footnote w:id="9">
    <w:p w:rsidR="00F831FE" w:rsidRPr="00A144B8" w:rsidRDefault="00F831FE" w:rsidP="00EB5D77">
      <w:pPr>
        <w:ind w:left="363"/>
        <w:jc w:val="both"/>
        <w:rPr>
          <w:sz w:val="20"/>
          <w:szCs w:val="20"/>
          <w:lang w:val="en-GB"/>
        </w:rPr>
      </w:pPr>
      <w:r w:rsidRPr="00A144B8">
        <w:rPr>
          <w:rStyle w:val="FootnoteReference"/>
          <w:rFonts w:asciiTheme="majorHAnsi" w:hAnsiTheme="majorHAnsi"/>
          <w:sz w:val="20"/>
          <w:szCs w:val="20"/>
          <w:lang w:val="en-GB"/>
        </w:rPr>
        <w:footnoteRef/>
      </w:r>
      <w:r w:rsidRPr="00A144B8">
        <w:rPr>
          <w:rFonts w:asciiTheme="majorHAnsi" w:hAnsiTheme="majorHAnsi"/>
          <w:sz w:val="20"/>
          <w:szCs w:val="20"/>
          <w:lang w:val="en-GB"/>
        </w:rPr>
        <w:t xml:space="preserve"> </w:t>
      </w:r>
      <w:r w:rsidRPr="00A144B8">
        <w:rPr>
          <w:sz w:val="20"/>
          <w:szCs w:val="20"/>
          <w:lang w:val="en-GB"/>
        </w:rPr>
        <w:t>The indicator for poverty or social exclusion or risk of poverty in the Europe 2010 strategy corresponds to the sum of persons who</w:t>
      </w:r>
      <w:r w:rsidRPr="00A144B8">
        <w:rPr>
          <w:rFonts w:asciiTheme="majorHAnsi" w:hAnsiTheme="majorHAnsi"/>
          <w:sz w:val="20"/>
          <w:szCs w:val="20"/>
          <w:lang w:val="en-GB"/>
        </w:rPr>
        <w:t xml:space="preserve">: a) live </w:t>
      </w:r>
      <w:r w:rsidRPr="00A144B8">
        <w:rPr>
          <w:rStyle w:val="Emphasis"/>
          <w:i w:val="0"/>
          <w:sz w:val="20"/>
          <w:szCs w:val="20"/>
          <w:lang w:val="en-GB"/>
        </w:rPr>
        <w:t>below the risk-of-poverty threshold</w:t>
      </w:r>
      <w:r w:rsidRPr="00A144B8">
        <w:rPr>
          <w:rFonts w:asciiTheme="majorHAnsi" w:hAnsiTheme="majorHAnsi"/>
          <w:sz w:val="20"/>
          <w:szCs w:val="20"/>
          <w:lang w:val="en-GB"/>
        </w:rPr>
        <w:t xml:space="preserve">; b) are </w:t>
      </w:r>
      <w:r w:rsidRPr="00A144B8">
        <w:rPr>
          <w:sz w:val="20"/>
          <w:szCs w:val="20"/>
          <w:lang w:val="en-GB"/>
        </w:rPr>
        <w:t>severely materially deprived</w:t>
      </w:r>
      <w:r w:rsidRPr="00A144B8">
        <w:rPr>
          <w:rFonts w:asciiTheme="majorHAnsi" w:hAnsiTheme="majorHAnsi"/>
          <w:sz w:val="20"/>
          <w:szCs w:val="20"/>
          <w:lang w:val="en-GB"/>
        </w:rPr>
        <w:t xml:space="preserve"> or c) </w:t>
      </w:r>
      <w:r w:rsidRPr="00A144B8">
        <w:rPr>
          <w:sz w:val="20"/>
          <w:szCs w:val="20"/>
          <w:lang w:val="en-GB"/>
        </w:rPr>
        <w:t>live in households with very low work intensity</w:t>
      </w:r>
      <w:r w:rsidRPr="00A144B8">
        <w:rPr>
          <w:rFonts w:asciiTheme="majorHAnsi" w:hAnsiTheme="majorHAnsi"/>
          <w:sz w:val="20"/>
          <w:szCs w:val="20"/>
          <w:lang w:val="en-GB"/>
        </w:rPr>
        <w:t xml:space="preserve">.  </w:t>
      </w:r>
      <w:r w:rsidRPr="00A144B8">
        <w:rPr>
          <w:sz w:val="20"/>
          <w:szCs w:val="20"/>
          <w:lang w:val="en-GB"/>
        </w:rPr>
        <w:t>Persons are only counted once even if they are present in several sub-indicators</w:t>
      </w:r>
      <w:r w:rsidRPr="00A144B8">
        <w:rPr>
          <w:rFonts w:asciiTheme="majorHAnsi" w:hAnsiTheme="majorHAnsi"/>
          <w:sz w:val="20"/>
          <w:szCs w:val="20"/>
          <w:lang w:val="en-GB"/>
        </w:rPr>
        <w:t xml:space="preserve">. </w:t>
      </w:r>
      <w:r w:rsidRPr="00A144B8">
        <w:rPr>
          <w:sz w:val="20"/>
          <w:szCs w:val="20"/>
          <w:lang w:val="en-GB"/>
        </w:rPr>
        <w:t xml:space="preserve">At risk-of-poverty are households with an </w:t>
      </w:r>
      <w:proofErr w:type="spellStart"/>
      <w:r w:rsidRPr="00A144B8">
        <w:rPr>
          <w:sz w:val="20"/>
          <w:szCs w:val="20"/>
          <w:lang w:val="en-GB"/>
        </w:rPr>
        <w:t>equivalised</w:t>
      </w:r>
      <w:proofErr w:type="spellEnd"/>
      <w:r w:rsidRPr="00A144B8">
        <w:rPr>
          <w:sz w:val="20"/>
          <w:szCs w:val="20"/>
          <w:lang w:val="en-GB"/>
        </w:rPr>
        <w:t xml:space="preserve"> disposable income below the risk-of-poverty threshold, which is set at 60% of the national median </w:t>
      </w:r>
      <w:proofErr w:type="spellStart"/>
      <w:r w:rsidRPr="00A144B8">
        <w:rPr>
          <w:sz w:val="20"/>
          <w:szCs w:val="20"/>
          <w:lang w:val="en-GB"/>
        </w:rPr>
        <w:t>equivalised</w:t>
      </w:r>
      <w:proofErr w:type="spellEnd"/>
      <w:r w:rsidRPr="00A144B8">
        <w:rPr>
          <w:sz w:val="20"/>
          <w:szCs w:val="20"/>
          <w:lang w:val="en-GB"/>
        </w:rPr>
        <w:t xml:space="preserve"> disposable income (after social transfers)</w:t>
      </w:r>
      <w:r w:rsidRPr="00A144B8">
        <w:rPr>
          <w:rFonts w:asciiTheme="majorHAnsi" w:hAnsiTheme="majorHAnsi" w:cs="Tahoma"/>
          <w:sz w:val="20"/>
          <w:szCs w:val="20"/>
          <w:lang w:val="en-GB"/>
        </w:rPr>
        <w:t xml:space="preserve">. </w:t>
      </w:r>
      <w:r w:rsidRPr="00A144B8">
        <w:rPr>
          <w:sz w:val="20"/>
          <w:szCs w:val="20"/>
          <w:lang w:val="en-GB"/>
        </w:rPr>
        <w:t>Material deprivation covers indicators relating to economic strain and durables. Severely materially deprived persons have living conditions severely constrained by a lack of resources, they experience at least 4 out of 9 of the following deprivations items, cannot afford</w:t>
      </w:r>
      <w:r w:rsidRPr="00A144B8">
        <w:rPr>
          <w:rFonts w:asciiTheme="majorHAnsi" w:eastAsiaTheme="minorHAnsi" w:hAnsiTheme="majorHAnsi"/>
          <w:sz w:val="20"/>
          <w:szCs w:val="20"/>
          <w:lang w:val="en-GB"/>
        </w:rPr>
        <w:t xml:space="preserve">: </w:t>
      </w:r>
      <w:r w:rsidRPr="00A144B8">
        <w:rPr>
          <w:sz w:val="20"/>
          <w:szCs w:val="20"/>
          <w:lang w:val="en-GB"/>
        </w:rPr>
        <w:t>1) to pay rent or utility bills or mortgage; 2) a week’s holiday away from home; 3) keep home adequately warm; 4) eat meat, fish or a protein equivalent every second day; 5) face unexpected expenses equal to the average risk-of-poverty threshold in the previous year; 6) a telephone, including a mobile telephone; 7) a colour TV; 8) a washing machine; 9) a car. People living in households with very low work intensity are those aged 0-59 living in households where the adults worked less than 20% of their total work potential during the past year.</w:t>
      </w:r>
    </w:p>
    <w:p w:rsidR="00F831FE" w:rsidRPr="00A144B8" w:rsidRDefault="006832C0" w:rsidP="00EB5D77">
      <w:pPr>
        <w:ind w:left="363"/>
        <w:jc w:val="both"/>
        <w:rPr>
          <w:sz w:val="20"/>
          <w:szCs w:val="20"/>
          <w:lang w:val="en-GB"/>
        </w:rPr>
      </w:pPr>
      <w:hyperlink r:id="rId1" w:history="1">
        <w:r w:rsidR="00F831FE" w:rsidRPr="00A144B8">
          <w:rPr>
            <w:rStyle w:val="Hyperlink"/>
            <w:rFonts w:asciiTheme="majorHAnsi" w:hAnsiTheme="majorHAnsi" w:cs="Arial"/>
            <w:sz w:val="20"/>
            <w:szCs w:val="20"/>
            <w:lang w:val="en-GB"/>
          </w:rPr>
          <w:t>http://epp.eurostat.ec.europa.eu/tgm/refreshTableAction.do;jsessionid=9ea7d07d30ebb87d4cd83d184437b435dadf0aa742e8.e34OaN8PchaTby0Lc3aNchuNa3mSe0?tab=table&amp;plugin=1&amp;pcode=t2020_50&amp;language=en</w:t>
        </w:r>
      </w:hyperlink>
      <w:r w:rsidR="00F831FE" w:rsidRPr="00A144B8">
        <w:rPr>
          <w:rFonts w:asciiTheme="majorHAnsi" w:hAnsiTheme="majorHAnsi" w:cs="Arial"/>
          <w:color w:val="000000"/>
          <w:sz w:val="20"/>
          <w:szCs w:val="20"/>
          <w:lang w:val="en-GB"/>
        </w:rPr>
        <w:t xml:space="preserve"> </w:t>
      </w:r>
    </w:p>
  </w:footnote>
  <w:footnote w:id="10">
    <w:p w:rsidR="00F831FE" w:rsidRPr="00A144B8" w:rsidRDefault="00F831FE" w:rsidP="00EB5D77">
      <w:pPr>
        <w:pStyle w:val="FootnoteText"/>
        <w:ind w:left="363"/>
        <w:rPr>
          <w:lang w:val="en-GB"/>
        </w:rPr>
      </w:pPr>
      <w:r w:rsidRPr="00A144B8">
        <w:rPr>
          <w:rStyle w:val="FootnoteReference"/>
          <w:lang w:val="en-GB"/>
        </w:rPr>
        <w:footnoteRef/>
      </w:r>
      <w:r w:rsidRPr="00A144B8">
        <w:rPr>
          <w:lang w:val="en-GB"/>
        </w:rPr>
        <w:t xml:space="preserve"> In 2012, the risk-of-poverty threshold in Lithuania per person was LTL 749 and LTL 1,572 per household consisting of two adults and two children </w:t>
      </w:r>
      <w:proofErr w:type="gramStart"/>
      <w:r w:rsidRPr="00A144B8">
        <w:rPr>
          <w:lang w:val="en-GB"/>
        </w:rPr>
        <w:t>under</w:t>
      </w:r>
      <w:proofErr w:type="gramEnd"/>
      <w:r w:rsidRPr="00A144B8">
        <w:rPr>
          <w:lang w:val="en-GB"/>
        </w:rPr>
        <w:t xml:space="preserve"> 14 years of age.</w:t>
      </w:r>
    </w:p>
  </w:footnote>
  <w:footnote w:id="11">
    <w:p w:rsidR="00F831FE" w:rsidRPr="00A144B8" w:rsidRDefault="00F831FE" w:rsidP="007436E1">
      <w:pPr>
        <w:pStyle w:val="FootnoteText"/>
        <w:ind w:left="363"/>
        <w:rPr>
          <w:lang w:val="en-GB"/>
        </w:rPr>
      </w:pPr>
      <w:r w:rsidRPr="00A144B8">
        <w:rPr>
          <w:rStyle w:val="FootnoteReference"/>
          <w:lang w:val="en-GB"/>
        </w:rPr>
        <w:footnoteRef/>
      </w:r>
      <w:r w:rsidRPr="00A144B8">
        <w:rPr>
          <w:lang w:val="en-GB"/>
        </w:rPr>
        <w:t xml:space="preserve"> Eurostat database </w:t>
      </w:r>
      <w:hyperlink r:id="rId2" w:history="1">
        <w:r w:rsidRPr="00A144B8">
          <w:rPr>
            <w:rStyle w:val="Hyperlink"/>
            <w:lang w:val="en-GB"/>
          </w:rPr>
          <w:t>http://appsso.eurostat.ec.europa.eu/nui/show.do?dataset=ilc_mddd21&amp;lang=en</w:t>
        </w:r>
      </w:hyperlink>
      <w:r w:rsidRPr="00A144B8">
        <w:rPr>
          <w:lang w:val="en-GB"/>
        </w:rPr>
        <w:t xml:space="preserve"> </w:t>
      </w:r>
    </w:p>
  </w:footnote>
  <w:footnote w:id="12">
    <w:p w:rsidR="00F831FE" w:rsidRPr="00A144B8" w:rsidRDefault="00F831FE" w:rsidP="007436E1">
      <w:pPr>
        <w:pStyle w:val="FootnoteText"/>
        <w:ind w:left="363"/>
        <w:rPr>
          <w:lang w:val="en-GB"/>
        </w:rPr>
      </w:pPr>
      <w:r w:rsidRPr="00A144B8">
        <w:rPr>
          <w:rStyle w:val="FootnoteReference"/>
          <w:lang w:val="en-GB"/>
        </w:rPr>
        <w:footnoteRef/>
      </w:r>
      <w:r w:rsidRPr="00A144B8">
        <w:rPr>
          <w:lang w:val="en-GB"/>
        </w:rPr>
        <w:t xml:space="preserve"> Eurostat database </w:t>
      </w:r>
      <w:hyperlink r:id="rId3" w:history="1">
        <w:r w:rsidRPr="00A144B8">
          <w:rPr>
            <w:rStyle w:val="Hyperlink"/>
            <w:lang w:val="en-GB"/>
          </w:rPr>
          <w:t>http://appsso.eurostat.ec.europa.eu/nui/submitViewTableAction.do</w:t>
        </w:r>
      </w:hyperlink>
      <w:r w:rsidRPr="00A144B8">
        <w:rPr>
          <w:lang w:val="en-GB"/>
        </w:rPr>
        <w:t xml:space="preserve"> </w:t>
      </w:r>
    </w:p>
  </w:footnote>
  <w:footnote w:id="13">
    <w:p w:rsidR="00F831FE" w:rsidRPr="00A144B8" w:rsidRDefault="00F831FE" w:rsidP="007436E1">
      <w:pPr>
        <w:pStyle w:val="FootnoteText"/>
        <w:ind w:left="363"/>
        <w:rPr>
          <w:lang w:val="en-GB"/>
        </w:rPr>
      </w:pPr>
      <w:r w:rsidRPr="00A144B8">
        <w:rPr>
          <w:rStyle w:val="FootnoteReference"/>
          <w:lang w:val="en-GB"/>
        </w:rPr>
        <w:footnoteRef/>
      </w:r>
      <w:r w:rsidRPr="00A144B8">
        <w:rPr>
          <w:lang w:val="en-GB"/>
        </w:rPr>
        <w:t xml:space="preserve"> Lithuania: 2013 National Reform Agenda. </w:t>
      </w:r>
      <w:proofErr w:type="gramStart"/>
      <w:r w:rsidRPr="00A144B8">
        <w:rPr>
          <w:lang w:val="en-GB"/>
        </w:rPr>
        <w:t>Vilnius, 2013.</w:t>
      </w:r>
      <w:proofErr w:type="gramEnd"/>
    </w:p>
  </w:footnote>
  <w:footnote w:id="14">
    <w:p w:rsidR="00F831FE" w:rsidRPr="00A144B8" w:rsidRDefault="00F831FE" w:rsidP="00A8485C">
      <w:pPr>
        <w:ind w:firstLine="284"/>
        <w:rPr>
          <w:rFonts w:asciiTheme="majorHAnsi" w:eastAsia="Times New Roman" w:hAnsiTheme="majorHAnsi" w:cs="Times New Roman"/>
          <w:sz w:val="20"/>
          <w:szCs w:val="20"/>
          <w:lang w:val="en-GB"/>
        </w:rPr>
      </w:pPr>
      <w:r w:rsidRPr="00A144B8">
        <w:rPr>
          <w:sz w:val="20"/>
          <w:szCs w:val="20"/>
          <w:lang w:val="en-GB"/>
        </w:rPr>
        <w:t xml:space="preserve">   </w:t>
      </w:r>
      <w:r w:rsidRPr="00A144B8">
        <w:rPr>
          <w:rStyle w:val="FootnoteReference"/>
          <w:sz w:val="20"/>
          <w:szCs w:val="20"/>
          <w:lang w:val="en-GB"/>
        </w:rPr>
        <w:footnoteRef/>
      </w:r>
      <w:r w:rsidRPr="00A144B8">
        <w:rPr>
          <w:sz w:val="20"/>
          <w:szCs w:val="20"/>
          <w:lang w:val="en-GB"/>
        </w:rPr>
        <w:t xml:space="preserve"> </w:t>
      </w:r>
      <w:r w:rsidRPr="00A144B8">
        <w:rPr>
          <w:rFonts w:asciiTheme="majorHAnsi" w:hAnsiTheme="majorHAnsi"/>
          <w:sz w:val="20"/>
          <w:szCs w:val="20"/>
          <w:lang w:val="en-GB"/>
        </w:rPr>
        <w:t xml:space="preserve">European Commission, </w:t>
      </w:r>
      <w:r w:rsidRPr="00A144B8">
        <w:rPr>
          <w:rFonts w:asciiTheme="majorHAnsi" w:eastAsia="Times New Roman" w:hAnsiTheme="majorHAnsi" w:cs="Times New Roman"/>
          <w:sz w:val="20"/>
          <w:szCs w:val="20"/>
          <w:lang w:val="en-GB"/>
        </w:rPr>
        <w:t xml:space="preserve">Recommendation for a Council, Recommendation on Lithuania’s 2014 national reform programme and delivering a Council opinion on Lithuania’s 2014 convergence programme. Brussels 2014  </w:t>
      </w:r>
      <w:hyperlink r:id="rId4" w:history="1">
        <w:r w:rsidRPr="00A144B8">
          <w:rPr>
            <w:rStyle w:val="Hyperlink"/>
            <w:rFonts w:asciiTheme="majorHAnsi" w:hAnsiTheme="majorHAnsi"/>
            <w:sz w:val="20"/>
            <w:szCs w:val="20"/>
            <w:lang w:val="en-GB"/>
          </w:rPr>
          <w:t>http://ec.europa.eu/europe2020/pdf/csr2014/csr2014_lithuania_lt.pdf</w:t>
        </w:r>
      </w:hyperlink>
    </w:p>
    <w:p w:rsidR="00F831FE" w:rsidRPr="00A144B8" w:rsidRDefault="00F831FE" w:rsidP="00A8485C">
      <w:pPr>
        <w:pStyle w:val="FootnoteText"/>
        <w:ind w:left="363" w:firstLine="284"/>
        <w:jc w:val="both"/>
        <w:rPr>
          <w:lang w:val="en-GB"/>
        </w:rPr>
      </w:pPr>
    </w:p>
  </w:footnote>
  <w:footnote w:id="15">
    <w:p w:rsidR="00F831FE" w:rsidRPr="00A144B8" w:rsidRDefault="00F831FE" w:rsidP="003E1532">
      <w:pPr>
        <w:pStyle w:val="FootnoteText"/>
        <w:ind w:left="363"/>
        <w:jc w:val="both"/>
        <w:rPr>
          <w:lang w:val="en-GB"/>
        </w:rPr>
      </w:pPr>
      <w:r w:rsidRPr="00A144B8">
        <w:rPr>
          <w:rStyle w:val="FootnoteReference"/>
          <w:sz w:val="18"/>
          <w:szCs w:val="18"/>
          <w:lang w:val="en-GB"/>
        </w:rPr>
        <w:footnoteRef/>
      </w:r>
      <w:r w:rsidRPr="00A144B8">
        <w:rPr>
          <w:sz w:val="18"/>
          <w:szCs w:val="18"/>
          <w:lang w:val="en-GB"/>
        </w:rPr>
        <w:t xml:space="preserve"> </w:t>
      </w:r>
      <w:proofErr w:type="gramStart"/>
      <w:r w:rsidRPr="00A144B8">
        <w:rPr>
          <w:lang w:val="en-GB"/>
        </w:rPr>
        <w:t xml:space="preserve">Interview with a representative of </w:t>
      </w:r>
      <w:proofErr w:type="spellStart"/>
      <w:r w:rsidRPr="00A144B8">
        <w:rPr>
          <w:lang w:val="en-GB"/>
        </w:rPr>
        <w:t>Maisto</w:t>
      </w:r>
      <w:proofErr w:type="spellEnd"/>
      <w:r w:rsidRPr="00A144B8">
        <w:rPr>
          <w:lang w:val="en-GB"/>
        </w:rPr>
        <w:t xml:space="preserve"> </w:t>
      </w:r>
      <w:proofErr w:type="spellStart"/>
      <w:r w:rsidRPr="00A144B8">
        <w:rPr>
          <w:lang w:val="en-GB"/>
        </w:rPr>
        <w:t>Bankas</w:t>
      </w:r>
      <w:proofErr w:type="spellEnd"/>
      <w:r w:rsidRPr="00A144B8">
        <w:rPr>
          <w:lang w:val="en-GB"/>
        </w:rPr>
        <w:t xml:space="preserve"> (Food Bank), 8 July 2014.</w:t>
      </w:r>
      <w:proofErr w:type="gramEnd"/>
    </w:p>
  </w:footnote>
  <w:footnote w:id="16">
    <w:p w:rsidR="00F831FE" w:rsidRPr="00A144B8" w:rsidRDefault="00F831FE" w:rsidP="003E1532">
      <w:pPr>
        <w:pStyle w:val="FootnoteText"/>
        <w:ind w:left="363"/>
        <w:jc w:val="both"/>
        <w:rPr>
          <w:lang w:val="en-GB"/>
        </w:rPr>
      </w:pPr>
      <w:r w:rsidRPr="00A144B8">
        <w:rPr>
          <w:rStyle w:val="FootnoteReference"/>
          <w:lang w:val="en-GB"/>
        </w:rPr>
        <w:footnoteRef/>
      </w:r>
      <w:r w:rsidRPr="00A144B8">
        <w:rPr>
          <w:lang w:val="en-GB"/>
        </w:rPr>
        <w:t xml:space="preserve"> </w:t>
      </w:r>
      <w:r w:rsidRPr="00A144B8">
        <w:rPr>
          <w:rStyle w:val="hps"/>
          <w:lang w:val="en-GB"/>
        </w:rPr>
        <w:t>Interview</w:t>
      </w:r>
      <w:r w:rsidRPr="00A144B8">
        <w:rPr>
          <w:lang w:val="en-GB"/>
        </w:rPr>
        <w:t xml:space="preserve"> </w:t>
      </w:r>
      <w:r w:rsidRPr="00A144B8">
        <w:rPr>
          <w:rStyle w:val="hps"/>
          <w:lang w:val="en-GB"/>
        </w:rPr>
        <w:t>with stakeholders:</w:t>
      </w:r>
      <w:r w:rsidRPr="00A144B8">
        <w:rPr>
          <w:lang w:val="en-GB"/>
        </w:rPr>
        <w:t xml:space="preserve"> a representative of the </w:t>
      </w:r>
      <w:r w:rsidRPr="00A144B8">
        <w:rPr>
          <w:rStyle w:val="hps"/>
          <w:lang w:val="en-GB"/>
        </w:rPr>
        <w:t>Social</w:t>
      </w:r>
      <w:r w:rsidRPr="00A144B8">
        <w:rPr>
          <w:lang w:val="en-GB"/>
        </w:rPr>
        <w:t xml:space="preserve"> </w:t>
      </w:r>
      <w:r w:rsidRPr="00A144B8">
        <w:rPr>
          <w:rStyle w:val="hps"/>
          <w:lang w:val="en-GB"/>
        </w:rPr>
        <w:t>Welfare</w:t>
      </w:r>
      <w:r w:rsidRPr="00A144B8">
        <w:rPr>
          <w:lang w:val="en-GB"/>
        </w:rPr>
        <w:t xml:space="preserve"> </w:t>
      </w:r>
      <w:r w:rsidRPr="00A144B8">
        <w:rPr>
          <w:rStyle w:val="hps"/>
          <w:lang w:val="en-GB"/>
        </w:rPr>
        <w:t xml:space="preserve">Department of </w:t>
      </w:r>
      <w:proofErr w:type="spellStart"/>
      <w:r w:rsidRPr="00A144B8">
        <w:rPr>
          <w:rStyle w:val="hps"/>
          <w:lang w:val="en-GB"/>
        </w:rPr>
        <w:t>Telšiai</w:t>
      </w:r>
      <w:proofErr w:type="spellEnd"/>
      <w:r w:rsidRPr="00A144B8">
        <w:rPr>
          <w:rStyle w:val="hps"/>
          <w:lang w:val="en-GB"/>
        </w:rPr>
        <w:t xml:space="preserve"> District</w:t>
      </w:r>
      <w:r w:rsidRPr="00A144B8">
        <w:rPr>
          <w:lang w:val="en-GB"/>
        </w:rPr>
        <w:t xml:space="preserve"> </w:t>
      </w:r>
      <w:r w:rsidRPr="00A144B8">
        <w:rPr>
          <w:rStyle w:val="hps"/>
          <w:lang w:val="en-GB"/>
        </w:rPr>
        <w:t>Municipal Administration</w:t>
      </w:r>
      <w:r w:rsidRPr="00A144B8">
        <w:rPr>
          <w:lang w:val="en-GB"/>
        </w:rPr>
        <w:t xml:space="preserve"> </w:t>
      </w:r>
      <w:r w:rsidRPr="00A144B8">
        <w:rPr>
          <w:rStyle w:val="hps"/>
          <w:lang w:val="en-GB"/>
        </w:rPr>
        <w:t>and</w:t>
      </w:r>
      <w:r w:rsidRPr="00A144B8">
        <w:rPr>
          <w:lang w:val="en-GB"/>
        </w:rPr>
        <w:t xml:space="preserve"> </w:t>
      </w:r>
      <w:r w:rsidRPr="00A144B8">
        <w:rPr>
          <w:rStyle w:val="hps"/>
          <w:lang w:val="en-GB"/>
        </w:rPr>
        <w:t>a representative of</w:t>
      </w:r>
      <w:r w:rsidRPr="00A144B8">
        <w:rPr>
          <w:lang w:val="en-GB"/>
        </w:rPr>
        <w:t xml:space="preserve"> </w:t>
      </w:r>
      <w:r w:rsidRPr="00A144B8">
        <w:rPr>
          <w:rStyle w:val="hps"/>
          <w:lang w:val="en-GB"/>
        </w:rPr>
        <w:t>the National</w:t>
      </w:r>
      <w:r w:rsidRPr="00A144B8">
        <w:rPr>
          <w:lang w:val="en-GB"/>
        </w:rPr>
        <w:t xml:space="preserve"> </w:t>
      </w:r>
      <w:r w:rsidRPr="00A144B8">
        <w:rPr>
          <w:rStyle w:val="hps"/>
          <w:lang w:val="en-GB"/>
        </w:rPr>
        <w:t>Anti-Poverty</w:t>
      </w:r>
      <w:r w:rsidRPr="00A144B8">
        <w:rPr>
          <w:lang w:val="en-GB"/>
        </w:rPr>
        <w:t xml:space="preserve"> Organisation </w:t>
      </w:r>
      <w:r w:rsidRPr="00A144B8">
        <w:rPr>
          <w:rStyle w:val="hps"/>
          <w:lang w:val="en-GB"/>
        </w:rPr>
        <w:t>Network</w:t>
      </w:r>
      <w:r w:rsidRPr="00A144B8">
        <w:rPr>
          <w:lang w:val="en-GB"/>
        </w:rPr>
        <w:t>, 9 July 2014.</w:t>
      </w:r>
    </w:p>
  </w:footnote>
  <w:footnote w:id="17">
    <w:p w:rsidR="00F831FE" w:rsidRPr="00A144B8" w:rsidRDefault="00F831FE" w:rsidP="006F30A4">
      <w:pPr>
        <w:pStyle w:val="FootnoteText"/>
        <w:ind w:left="363"/>
        <w:jc w:val="both"/>
        <w:rPr>
          <w:lang w:val="en-GB"/>
        </w:rPr>
      </w:pPr>
      <w:r w:rsidRPr="00A144B8">
        <w:rPr>
          <w:rStyle w:val="FootnoteReference"/>
          <w:lang w:val="en-GB"/>
        </w:rPr>
        <w:footnoteRef/>
      </w:r>
      <w:r w:rsidRPr="00A144B8">
        <w:rPr>
          <w:lang w:val="en-GB"/>
        </w:rPr>
        <w:t xml:space="preserve"> </w:t>
      </w:r>
      <w:proofErr w:type="gramStart"/>
      <w:r w:rsidRPr="00A144B8">
        <w:rPr>
          <w:lang w:val="en-GB"/>
        </w:rPr>
        <w:t xml:space="preserve">Interview with a representative of </w:t>
      </w:r>
      <w:proofErr w:type="spellStart"/>
      <w:r w:rsidRPr="00A144B8">
        <w:rPr>
          <w:lang w:val="en-GB"/>
        </w:rPr>
        <w:t>Maisto</w:t>
      </w:r>
      <w:proofErr w:type="spellEnd"/>
      <w:r w:rsidRPr="00A144B8">
        <w:rPr>
          <w:lang w:val="en-GB"/>
        </w:rPr>
        <w:t xml:space="preserve"> </w:t>
      </w:r>
      <w:proofErr w:type="spellStart"/>
      <w:r w:rsidRPr="00A144B8">
        <w:rPr>
          <w:lang w:val="en-GB"/>
        </w:rPr>
        <w:t>Bankas</w:t>
      </w:r>
      <w:proofErr w:type="spellEnd"/>
      <w:r w:rsidRPr="00A144B8">
        <w:rPr>
          <w:lang w:val="en-GB"/>
        </w:rPr>
        <w:t>, 8 July 2014.</w:t>
      </w:r>
      <w:proofErr w:type="gramEnd"/>
    </w:p>
  </w:footnote>
  <w:footnote w:id="18">
    <w:p w:rsidR="00F831FE" w:rsidRPr="00A144B8" w:rsidRDefault="00F831FE" w:rsidP="002E3118">
      <w:pPr>
        <w:pStyle w:val="FootnoteText"/>
        <w:ind w:left="363"/>
        <w:jc w:val="both"/>
        <w:rPr>
          <w:lang w:val="en-GB"/>
        </w:rPr>
      </w:pPr>
      <w:r w:rsidRPr="00A144B8">
        <w:rPr>
          <w:rStyle w:val="FootnoteReference"/>
          <w:lang w:val="en-GB"/>
        </w:rPr>
        <w:footnoteRef/>
      </w:r>
      <w:r w:rsidRPr="00A144B8">
        <w:rPr>
          <w:lang w:val="en-GB"/>
        </w:rPr>
        <w:t xml:space="preserve"> </w:t>
      </w:r>
      <w:proofErr w:type="gramStart"/>
      <w:r w:rsidRPr="00A144B8">
        <w:rPr>
          <w:lang w:val="en-GB"/>
        </w:rPr>
        <w:t>Order No.</w:t>
      </w:r>
      <w:proofErr w:type="gramEnd"/>
      <w:r w:rsidRPr="00A144B8">
        <w:rPr>
          <w:lang w:val="en-GB"/>
        </w:rPr>
        <w:t xml:space="preserve"> A1-60 “Regarding approval of the temporary procedure for selection of the state projects co-financed by the Fund for European Aid to the Most Deprived for 2</w:t>
      </w:r>
      <w:r w:rsidRPr="00A144B8">
        <w:rPr>
          <w:rStyle w:val="hps"/>
          <w:lang w:val="en-GB"/>
        </w:rPr>
        <w:t xml:space="preserve">014–2020” </w:t>
      </w:r>
      <w:r w:rsidRPr="00A144B8">
        <w:rPr>
          <w:lang w:val="en-GB"/>
        </w:rPr>
        <w:t>of 31 January 2014 of the Minister of Social Affairs and Labour of the Republic of Lithuania, Register of Legal Acts, 2014-02-03, No. 2014-00863.</w:t>
      </w:r>
    </w:p>
  </w:footnote>
  <w:footnote w:id="19">
    <w:p w:rsidR="00F831FE" w:rsidRPr="00A144B8" w:rsidRDefault="00F831FE" w:rsidP="001320DC">
      <w:pPr>
        <w:pStyle w:val="FootnoteText"/>
        <w:ind w:left="363"/>
        <w:jc w:val="both"/>
        <w:rPr>
          <w:lang w:val="en-GB"/>
        </w:rPr>
      </w:pPr>
      <w:r w:rsidRPr="00A144B8">
        <w:rPr>
          <w:rStyle w:val="FootnoteReference"/>
          <w:lang w:val="en-GB"/>
        </w:rPr>
        <w:footnoteRef/>
      </w:r>
      <w:r w:rsidRPr="00A144B8">
        <w:rPr>
          <w:lang w:val="en-GB"/>
        </w:rPr>
        <w:t xml:space="preserve"> </w:t>
      </w:r>
      <w:r w:rsidRPr="00A144B8">
        <w:rPr>
          <w:rFonts w:eastAsia="Cambria" w:cs="Cambria"/>
          <w:color w:val="000000"/>
          <w:lang w:val="en-GB"/>
        </w:rPr>
        <w:t xml:space="preserve">2014–2020 </w:t>
      </w:r>
      <w:r w:rsidRPr="00A144B8">
        <w:rPr>
          <w:rFonts w:eastAsia="Times New Roman" w:cs="Times New Roman"/>
          <w:bCs/>
          <w:lang w:val="en-GB"/>
        </w:rPr>
        <w:t xml:space="preserve">Lithuanian draft </w:t>
      </w:r>
      <w:r w:rsidR="00A742E4">
        <w:rPr>
          <w:rFonts w:eastAsia="Cambria" w:cs="Cambria"/>
          <w:color w:val="000000"/>
          <w:lang w:val="en-GB"/>
        </w:rPr>
        <w:t>Operational Programme for EU Structural Fund I</w:t>
      </w:r>
      <w:r w:rsidRPr="00A144B8">
        <w:rPr>
          <w:rFonts w:eastAsia="Cambria" w:cs="Cambria"/>
          <w:color w:val="000000"/>
          <w:lang w:val="en-GB"/>
        </w:rPr>
        <w:t>nvestment</w:t>
      </w:r>
      <w:r w:rsidRPr="00A144B8">
        <w:rPr>
          <w:lang w:val="en-GB"/>
        </w:rPr>
        <w:t xml:space="preserve">, 5 March 2014, </w:t>
      </w:r>
      <w:hyperlink r:id="rId5" w:anchor="VP" w:history="1">
        <w:r w:rsidRPr="00A144B8">
          <w:rPr>
            <w:rStyle w:val="Hyperlink"/>
            <w:lang w:val="en-GB"/>
          </w:rPr>
          <w:t>http://www.esparama.lt/strateginiai-dokumentai1#VP</w:t>
        </w:r>
      </w:hyperlink>
      <w:r w:rsidRPr="00A144B8">
        <w:rPr>
          <w:lang w:val="en-GB"/>
        </w:rPr>
        <w:t xml:space="preserve"> .</w:t>
      </w:r>
    </w:p>
  </w:footnote>
  <w:footnote w:id="20">
    <w:p w:rsidR="00F831FE" w:rsidRPr="00A144B8" w:rsidRDefault="00F831FE" w:rsidP="00762742">
      <w:pPr>
        <w:pStyle w:val="FootnoteText"/>
        <w:ind w:left="363"/>
        <w:jc w:val="both"/>
        <w:rPr>
          <w:lang w:val="en-GB"/>
        </w:rPr>
      </w:pPr>
      <w:r w:rsidRPr="00A144B8">
        <w:rPr>
          <w:rStyle w:val="FootnoteReference"/>
          <w:lang w:val="en-GB"/>
        </w:rPr>
        <w:footnoteRef/>
      </w:r>
      <w:r w:rsidRPr="00A144B8">
        <w:rPr>
          <w:lang w:val="en-GB"/>
        </w:rPr>
        <w:t xml:space="preserve"> </w:t>
      </w:r>
      <w:proofErr w:type="gramStart"/>
      <w:r w:rsidRPr="00A144B8">
        <w:rPr>
          <w:lang w:val="en-GB"/>
        </w:rPr>
        <w:t xml:space="preserve">Interview with the representatives of </w:t>
      </w:r>
      <w:r w:rsidRPr="00A144B8">
        <w:rPr>
          <w:rFonts w:eastAsia="Times New Roman" w:cs="Times New Roman"/>
          <w:bCs/>
          <w:lang w:val="en-GB"/>
        </w:rPr>
        <w:t>State Enterprise Lithuanian Agricultural and Food Market Regulation Agency</w:t>
      </w:r>
      <w:r w:rsidRPr="00A144B8">
        <w:rPr>
          <w:lang w:val="en-GB"/>
        </w:rPr>
        <w:t xml:space="preserve"> (7 July 2014) and a representative of </w:t>
      </w:r>
      <w:proofErr w:type="spellStart"/>
      <w:r w:rsidRPr="00A144B8">
        <w:rPr>
          <w:lang w:val="en-GB"/>
        </w:rPr>
        <w:t>Maisto</w:t>
      </w:r>
      <w:proofErr w:type="spellEnd"/>
      <w:r w:rsidRPr="00A144B8">
        <w:rPr>
          <w:lang w:val="en-GB"/>
        </w:rPr>
        <w:t xml:space="preserve"> </w:t>
      </w:r>
      <w:proofErr w:type="spellStart"/>
      <w:r w:rsidRPr="00A144B8">
        <w:rPr>
          <w:lang w:val="en-GB"/>
        </w:rPr>
        <w:t>Bankas</w:t>
      </w:r>
      <w:proofErr w:type="spellEnd"/>
      <w:r w:rsidRPr="00A144B8">
        <w:rPr>
          <w:lang w:val="en-GB"/>
        </w:rPr>
        <w:t xml:space="preserve"> </w:t>
      </w:r>
      <w:r w:rsidRPr="00A144B8">
        <w:rPr>
          <w:rFonts w:eastAsia="Cambria" w:cs="Cambria"/>
          <w:lang w:val="en-GB"/>
        </w:rPr>
        <w:t>(8 July 2014).</w:t>
      </w:r>
      <w:proofErr w:type="gramEnd"/>
    </w:p>
  </w:footnote>
  <w:footnote w:id="21">
    <w:p w:rsidR="00F831FE" w:rsidRPr="00A144B8" w:rsidRDefault="00F831FE" w:rsidP="00BD5AC0">
      <w:pPr>
        <w:pStyle w:val="FootnoteText"/>
        <w:ind w:left="363"/>
        <w:jc w:val="both"/>
        <w:rPr>
          <w:lang w:val="en-GB"/>
        </w:rPr>
      </w:pPr>
      <w:r w:rsidRPr="00A144B8">
        <w:rPr>
          <w:rStyle w:val="FootnoteReference"/>
          <w:lang w:val="en-GB"/>
        </w:rPr>
        <w:footnoteRef/>
      </w:r>
      <w:r w:rsidRPr="00A144B8">
        <w:rPr>
          <w:lang w:val="en-GB"/>
        </w:rPr>
        <w:t xml:space="preserve"> </w:t>
      </w:r>
      <w:proofErr w:type="gramStart"/>
      <w:r w:rsidRPr="00A144B8">
        <w:rPr>
          <w:lang w:val="en-GB"/>
        </w:rPr>
        <w:t xml:space="preserve">Interview with the representatives of </w:t>
      </w:r>
      <w:r w:rsidRPr="00A144B8">
        <w:rPr>
          <w:rFonts w:eastAsia="Times New Roman" w:cs="Times New Roman"/>
          <w:bCs/>
          <w:lang w:val="en-GB"/>
        </w:rPr>
        <w:t>State Enterprise Lithuanian Agricultural and Food Market Regulation Agency</w:t>
      </w:r>
      <w:r w:rsidRPr="00A144B8">
        <w:rPr>
          <w:lang w:val="en-GB"/>
        </w:rPr>
        <w:t xml:space="preserve"> (7 July 2014).</w:t>
      </w:r>
      <w:proofErr w:type="gramEnd"/>
    </w:p>
  </w:footnote>
  <w:footnote w:id="22">
    <w:p w:rsidR="00F831FE" w:rsidRPr="00A144B8" w:rsidRDefault="00F831FE" w:rsidP="00BD5AC0">
      <w:pPr>
        <w:pStyle w:val="FootnoteText"/>
        <w:ind w:left="363"/>
        <w:rPr>
          <w:lang w:val="en-GB"/>
        </w:rPr>
      </w:pPr>
      <w:r w:rsidRPr="00A144B8">
        <w:rPr>
          <w:rStyle w:val="FootnoteReference"/>
          <w:lang w:val="en-GB"/>
        </w:rPr>
        <w:footnoteRef/>
      </w:r>
      <w:r w:rsidRPr="00A144B8">
        <w:rPr>
          <w:lang w:val="en-GB"/>
        </w:rPr>
        <w:t xml:space="preserve"> Interview with a representative of the Lithuanian Red Cross Society (4 July 2014) and a representative of the </w:t>
      </w:r>
      <w:r w:rsidRPr="00A144B8">
        <w:rPr>
          <w:rStyle w:val="hps"/>
          <w:lang w:val="en-GB"/>
        </w:rPr>
        <w:t>Social</w:t>
      </w:r>
      <w:r w:rsidRPr="00A144B8">
        <w:rPr>
          <w:lang w:val="en-GB"/>
        </w:rPr>
        <w:t xml:space="preserve"> </w:t>
      </w:r>
      <w:r w:rsidRPr="00A144B8">
        <w:rPr>
          <w:rStyle w:val="hps"/>
          <w:lang w:val="en-GB"/>
        </w:rPr>
        <w:t>Welfare</w:t>
      </w:r>
      <w:r w:rsidRPr="00A144B8">
        <w:rPr>
          <w:lang w:val="en-GB"/>
        </w:rPr>
        <w:t xml:space="preserve"> </w:t>
      </w:r>
      <w:r w:rsidRPr="00A144B8">
        <w:rPr>
          <w:rStyle w:val="hps"/>
          <w:lang w:val="en-GB"/>
        </w:rPr>
        <w:t xml:space="preserve">Department of </w:t>
      </w:r>
      <w:proofErr w:type="spellStart"/>
      <w:r w:rsidRPr="00A144B8">
        <w:rPr>
          <w:rStyle w:val="hps"/>
          <w:lang w:val="en-GB"/>
        </w:rPr>
        <w:t>Telšiai</w:t>
      </w:r>
      <w:proofErr w:type="spellEnd"/>
      <w:r w:rsidRPr="00A144B8">
        <w:rPr>
          <w:rStyle w:val="hps"/>
          <w:lang w:val="en-GB"/>
        </w:rPr>
        <w:t xml:space="preserve"> District</w:t>
      </w:r>
      <w:r w:rsidRPr="00A144B8">
        <w:rPr>
          <w:lang w:val="en-GB"/>
        </w:rPr>
        <w:t xml:space="preserve"> </w:t>
      </w:r>
      <w:r w:rsidRPr="00A144B8">
        <w:rPr>
          <w:rStyle w:val="hps"/>
          <w:lang w:val="en-GB"/>
        </w:rPr>
        <w:t>Municipal Administration</w:t>
      </w:r>
      <w:r w:rsidRPr="00A144B8">
        <w:rPr>
          <w:lang w:val="en-GB"/>
        </w:rPr>
        <w:t xml:space="preserve"> (9 July 2014)</w:t>
      </w:r>
    </w:p>
  </w:footnote>
  <w:footnote w:id="23">
    <w:p w:rsidR="00F831FE" w:rsidRPr="00A144B8" w:rsidRDefault="00F831FE" w:rsidP="001C46F6">
      <w:pPr>
        <w:pStyle w:val="FootnoteText"/>
        <w:ind w:left="363"/>
        <w:jc w:val="both"/>
        <w:rPr>
          <w:lang w:val="en-GB"/>
        </w:rPr>
      </w:pPr>
      <w:r w:rsidRPr="00A144B8">
        <w:rPr>
          <w:rStyle w:val="FootnoteReference"/>
          <w:lang w:val="en-GB"/>
        </w:rPr>
        <w:footnoteRef/>
      </w:r>
      <w:r w:rsidRPr="00A144B8">
        <w:rPr>
          <w:lang w:val="en-GB"/>
        </w:rPr>
        <w:t xml:space="preserve">  </w:t>
      </w:r>
      <w:proofErr w:type="gramStart"/>
      <w:r w:rsidRPr="00A144B8">
        <w:rPr>
          <w:lang w:val="en-GB"/>
        </w:rPr>
        <w:t>Order No.</w:t>
      </w:r>
      <w:proofErr w:type="gramEnd"/>
      <w:r w:rsidRPr="00A144B8">
        <w:rPr>
          <w:lang w:val="en-GB"/>
        </w:rPr>
        <w:t xml:space="preserve"> A1-175 “Regarding approval of the composition of the monitoring committee for the 2014–2020 Fund for European Aid to the Most Deprived” of 31 March 2014 of the Minister of Social Affairs and Labour.</w:t>
      </w:r>
    </w:p>
  </w:footnote>
  <w:footnote w:id="24">
    <w:p w:rsidR="00F831FE" w:rsidRPr="00A144B8" w:rsidRDefault="00F831FE" w:rsidP="00C842EA">
      <w:pPr>
        <w:pStyle w:val="FootnoteText"/>
        <w:ind w:left="363"/>
        <w:jc w:val="both"/>
        <w:rPr>
          <w:lang w:val="en-GB"/>
        </w:rPr>
      </w:pPr>
      <w:r w:rsidRPr="00A144B8">
        <w:rPr>
          <w:rStyle w:val="FootnoteReference"/>
          <w:lang w:val="en-GB"/>
        </w:rPr>
        <w:footnoteRef/>
      </w:r>
      <w:r w:rsidRPr="00A144B8">
        <w:rPr>
          <w:lang w:val="en-GB"/>
        </w:rPr>
        <w:t xml:space="preserve"> </w:t>
      </w:r>
      <w:proofErr w:type="gramStart"/>
      <w:r w:rsidRPr="00A144B8">
        <w:rPr>
          <w:lang w:val="en-GB"/>
        </w:rPr>
        <w:t xml:space="preserve">Interview with a representative of the </w:t>
      </w:r>
      <w:r w:rsidRPr="00A144B8">
        <w:rPr>
          <w:rStyle w:val="hps"/>
          <w:lang w:val="en-GB"/>
        </w:rPr>
        <w:t>Social</w:t>
      </w:r>
      <w:r w:rsidRPr="00A144B8">
        <w:rPr>
          <w:lang w:val="en-GB"/>
        </w:rPr>
        <w:t xml:space="preserve"> </w:t>
      </w:r>
      <w:r w:rsidRPr="00A144B8">
        <w:rPr>
          <w:rStyle w:val="hps"/>
          <w:lang w:val="en-GB"/>
        </w:rPr>
        <w:t>Welfare</w:t>
      </w:r>
      <w:r w:rsidRPr="00A144B8">
        <w:rPr>
          <w:lang w:val="en-GB"/>
        </w:rPr>
        <w:t xml:space="preserve"> </w:t>
      </w:r>
      <w:r w:rsidRPr="00A144B8">
        <w:rPr>
          <w:rStyle w:val="hps"/>
          <w:lang w:val="en-GB"/>
        </w:rPr>
        <w:t xml:space="preserve">Department of </w:t>
      </w:r>
      <w:proofErr w:type="spellStart"/>
      <w:r w:rsidRPr="00A144B8">
        <w:rPr>
          <w:rStyle w:val="hps"/>
          <w:lang w:val="en-GB"/>
        </w:rPr>
        <w:t>Telšiai</w:t>
      </w:r>
      <w:proofErr w:type="spellEnd"/>
      <w:r w:rsidRPr="00A144B8">
        <w:rPr>
          <w:rStyle w:val="hps"/>
          <w:lang w:val="en-GB"/>
        </w:rPr>
        <w:t xml:space="preserve"> District</w:t>
      </w:r>
      <w:r w:rsidRPr="00A144B8">
        <w:rPr>
          <w:lang w:val="en-GB"/>
        </w:rPr>
        <w:t xml:space="preserve"> </w:t>
      </w:r>
      <w:r w:rsidRPr="00A144B8">
        <w:rPr>
          <w:rStyle w:val="hps"/>
          <w:lang w:val="en-GB"/>
        </w:rPr>
        <w:t>Municipal Administration</w:t>
      </w:r>
      <w:r w:rsidRPr="00A144B8">
        <w:rPr>
          <w:lang w:val="en-GB"/>
        </w:rPr>
        <w:t xml:space="preserve"> (9 July 2014).</w:t>
      </w:r>
      <w:proofErr w:type="gramEnd"/>
    </w:p>
  </w:footnote>
  <w:footnote w:id="25">
    <w:p w:rsidR="00F831FE" w:rsidRPr="00A144B8" w:rsidRDefault="00F831FE" w:rsidP="00C842EA">
      <w:pPr>
        <w:pStyle w:val="FootnoteText"/>
        <w:ind w:left="363"/>
        <w:jc w:val="both"/>
        <w:rPr>
          <w:lang w:val="en-GB"/>
        </w:rPr>
      </w:pPr>
      <w:r w:rsidRPr="00A144B8">
        <w:rPr>
          <w:rStyle w:val="FootnoteReference"/>
          <w:lang w:val="en-GB"/>
        </w:rPr>
        <w:footnoteRef/>
      </w:r>
      <w:r w:rsidRPr="00A144B8">
        <w:rPr>
          <w:lang w:val="en-GB"/>
        </w:rPr>
        <w:t xml:space="preserve"> How the costs of administration of </w:t>
      </w:r>
      <w:r w:rsidRPr="00A144B8">
        <w:rPr>
          <w:rStyle w:val="hps"/>
          <w:lang w:val="en-GB"/>
        </w:rPr>
        <w:t>partner organisations</w:t>
      </w:r>
      <w:r w:rsidRPr="00A144B8">
        <w:rPr>
          <w:lang w:val="en-GB"/>
        </w:rPr>
        <w:t xml:space="preserve"> </w:t>
      </w:r>
      <w:r w:rsidRPr="00A144B8">
        <w:rPr>
          <w:rStyle w:val="hps"/>
          <w:lang w:val="en-GB"/>
        </w:rPr>
        <w:t xml:space="preserve">implementing OP activities in municipal areas  will be </w:t>
      </w:r>
      <w:r w:rsidRPr="00A144B8">
        <w:rPr>
          <w:lang w:val="en-GB"/>
        </w:rPr>
        <w:t xml:space="preserve"> reimbursed</w:t>
      </w:r>
      <w:r w:rsidRPr="00A144B8">
        <w:rPr>
          <w:rStyle w:val="hps"/>
          <w:lang w:val="en-GB"/>
        </w:rPr>
        <w:t xml:space="preserve"> by</w:t>
      </w:r>
      <w:r w:rsidRPr="00A144B8">
        <w:rPr>
          <w:lang w:val="en-GB"/>
        </w:rPr>
        <w:t xml:space="preserve"> applying </w:t>
      </w:r>
      <w:r w:rsidRPr="00A144B8">
        <w:rPr>
          <w:rFonts w:asciiTheme="majorHAnsi" w:eastAsia="Times New Roman" w:hAnsiTheme="majorHAnsi" w:cs="Times New Roman"/>
          <w:bCs/>
          <w:lang w:val="en-GB"/>
        </w:rPr>
        <w:t>f</w:t>
      </w:r>
      <w:r w:rsidRPr="00A144B8">
        <w:rPr>
          <w:rFonts w:asciiTheme="majorHAnsi" w:hAnsiTheme="majorHAnsi"/>
          <w:lang w:val="en-GB"/>
        </w:rPr>
        <w:t>lat-rate financing, when financing will be determined by the application of a percentage to one or several defined categories of costs</w:t>
      </w:r>
      <w:r w:rsidRPr="00A144B8">
        <w:rPr>
          <w:lang w:val="en-GB"/>
        </w:rPr>
        <w:t xml:space="preserve"> </w:t>
      </w:r>
      <w:r w:rsidRPr="00A144B8">
        <w:rPr>
          <w:rStyle w:val="hps"/>
          <w:lang w:val="en-GB"/>
        </w:rPr>
        <w:t>(</w:t>
      </w:r>
      <w:r w:rsidRPr="00A144B8">
        <w:rPr>
          <w:lang w:val="en-GB"/>
        </w:rPr>
        <w:t>e.g. assistance distributed in the municipal area</w:t>
      </w:r>
      <w:r w:rsidRPr="00A144B8">
        <w:rPr>
          <w:rStyle w:val="hps"/>
          <w:lang w:val="en-GB"/>
        </w:rPr>
        <w:t>)</w:t>
      </w:r>
      <w:r w:rsidRPr="00A144B8">
        <w:rPr>
          <w:lang w:val="en-GB"/>
        </w:rPr>
        <w:t>.</w:t>
      </w:r>
    </w:p>
  </w:footnote>
  <w:footnote w:id="26">
    <w:p w:rsidR="00F831FE" w:rsidRPr="00A144B8" w:rsidRDefault="00F831FE" w:rsidP="00456EE3">
      <w:pPr>
        <w:pStyle w:val="FootnoteText"/>
        <w:ind w:left="363"/>
        <w:jc w:val="both"/>
        <w:rPr>
          <w:lang w:val="en-GB"/>
        </w:rPr>
      </w:pPr>
      <w:r w:rsidRPr="00A144B8">
        <w:rPr>
          <w:rStyle w:val="FootnoteReference"/>
          <w:lang w:val="en-GB"/>
        </w:rPr>
        <w:footnoteRef/>
      </w:r>
      <w:r w:rsidRPr="00A144B8">
        <w:rPr>
          <w:lang w:val="en-GB"/>
        </w:rPr>
        <w:t xml:space="preserve"> Interview with </w:t>
      </w:r>
      <w:r w:rsidRPr="00A144B8">
        <w:rPr>
          <w:rStyle w:val="hps"/>
          <w:lang w:val="en-GB"/>
        </w:rPr>
        <w:t>a representative of</w:t>
      </w:r>
      <w:r w:rsidRPr="00A144B8">
        <w:rPr>
          <w:lang w:val="en-GB"/>
        </w:rPr>
        <w:t xml:space="preserve"> </w:t>
      </w:r>
      <w:r w:rsidRPr="00A144B8">
        <w:rPr>
          <w:rStyle w:val="hps"/>
          <w:lang w:val="en-GB"/>
        </w:rPr>
        <w:t>the National</w:t>
      </w:r>
      <w:r w:rsidRPr="00A144B8">
        <w:rPr>
          <w:lang w:val="en-GB"/>
        </w:rPr>
        <w:t xml:space="preserve"> </w:t>
      </w:r>
      <w:r w:rsidRPr="00A144B8">
        <w:rPr>
          <w:rStyle w:val="hps"/>
          <w:lang w:val="en-GB"/>
        </w:rPr>
        <w:t>Anti-Poverty</w:t>
      </w:r>
      <w:r w:rsidRPr="00A144B8">
        <w:rPr>
          <w:lang w:val="en-GB"/>
        </w:rPr>
        <w:t xml:space="preserve"> Organisation </w:t>
      </w:r>
      <w:r w:rsidRPr="00A144B8">
        <w:rPr>
          <w:rStyle w:val="hps"/>
          <w:lang w:val="en-GB"/>
        </w:rPr>
        <w:t>Network</w:t>
      </w:r>
      <w:r w:rsidRPr="00A144B8">
        <w:rPr>
          <w:lang w:val="en-GB"/>
        </w:rPr>
        <w:t xml:space="preserve">, 9 July 2014 </w:t>
      </w:r>
    </w:p>
  </w:footnote>
  <w:footnote w:id="27">
    <w:p w:rsidR="00F831FE" w:rsidRPr="00A144B8" w:rsidRDefault="00F831FE" w:rsidP="00456EE3">
      <w:pPr>
        <w:pStyle w:val="FootnoteText"/>
        <w:ind w:left="363"/>
        <w:jc w:val="both"/>
        <w:rPr>
          <w:lang w:val="en-GB"/>
        </w:rPr>
      </w:pPr>
      <w:r w:rsidRPr="00A144B8">
        <w:rPr>
          <w:rStyle w:val="FootnoteReference"/>
          <w:lang w:val="en-GB"/>
        </w:rPr>
        <w:footnoteRef/>
      </w:r>
      <w:r w:rsidRPr="00A144B8">
        <w:rPr>
          <w:lang w:val="en-GB"/>
        </w:rPr>
        <w:t xml:space="preserve"> </w:t>
      </w:r>
      <w:proofErr w:type="gramStart"/>
      <w:r w:rsidRPr="00A144B8">
        <w:rPr>
          <w:lang w:val="en-GB"/>
        </w:rPr>
        <w:t xml:space="preserve">Interview with the representatives of </w:t>
      </w:r>
      <w:r w:rsidRPr="00A144B8">
        <w:rPr>
          <w:rFonts w:eastAsia="Times New Roman" w:cs="Times New Roman"/>
          <w:bCs/>
          <w:lang w:val="en-GB"/>
        </w:rPr>
        <w:t>State Enterprise Lithuanian Agricultural and Food Market Regulation Agency</w:t>
      </w:r>
      <w:r w:rsidRPr="00A144B8">
        <w:rPr>
          <w:lang w:val="en-GB"/>
        </w:rPr>
        <w:t xml:space="preserve"> (7 July 2014)</w:t>
      </w:r>
      <w:r w:rsidRPr="00A144B8">
        <w:rPr>
          <w:rFonts w:eastAsia="Cambria" w:cs="Cambria"/>
          <w:lang w:val="en-GB"/>
        </w:rPr>
        <w:t>.</w:t>
      </w:r>
      <w:proofErr w:type="gramEnd"/>
    </w:p>
    <w:p w:rsidR="00F831FE" w:rsidRPr="00A144B8" w:rsidRDefault="00F831FE" w:rsidP="00456EE3">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FE" w:rsidRDefault="00F831FE">
    <w:pPr>
      <w:pStyle w:val="Header"/>
    </w:pPr>
  </w:p>
  <w:tbl>
    <w:tblPr>
      <w:tblW w:w="0" w:type="auto"/>
      <w:tblInd w:w="108" w:type="dxa"/>
      <w:tblBorders>
        <w:bottom w:val="single" w:sz="4" w:space="0" w:color="9A9A9A"/>
      </w:tblBorders>
      <w:tblLayout w:type="fixed"/>
      <w:tblLook w:val="04A0" w:firstRow="1" w:lastRow="0" w:firstColumn="1" w:lastColumn="0" w:noHBand="0" w:noVBand="1"/>
    </w:tblPr>
    <w:tblGrid>
      <w:gridCol w:w="8789"/>
      <w:gridCol w:w="1276"/>
    </w:tblGrid>
    <w:tr w:rsidR="00F831FE" w:rsidRPr="00CC5362" w:rsidTr="00F43244">
      <w:tc>
        <w:tcPr>
          <w:tcW w:w="8789" w:type="dxa"/>
          <w:shd w:val="clear" w:color="auto" w:fill="auto"/>
        </w:tcPr>
        <w:p w:rsidR="00F831FE" w:rsidRPr="00CC5362" w:rsidRDefault="006832C0" w:rsidP="00F43244">
          <w:pPr>
            <w:pStyle w:val="HeaderText"/>
            <w:spacing w:line="240" w:lineRule="auto"/>
            <w:rPr>
              <w:rStyle w:val="HeaderTextChar"/>
              <w:bCs/>
              <w:caps/>
            </w:rPr>
          </w:pPr>
          <w:sdt>
            <w:sdtPr>
              <w:rPr>
                <w:rFonts w:eastAsia="Times New Roman"/>
                <w:bCs w:val="0"/>
                <w:caps w:val="0"/>
              </w:rPr>
              <w:alias w:val="Title"/>
              <w:tag w:val="Title"/>
              <w:id w:val="-662011289"/>
              <w:dataBinding w:prefixMappings="xmlns:ns0='http://schemas.openxmlformats.org/package/2006/metadata/core-properties' xmlns:ns1='http://purl.org/dc/elements/1.1/'" w:xpath="/ns0:coreProperties[1]/ns1:title[1]" w:storeItemID="{6C3C8BC8-F283-45AE-878A-BAB7291924A1}"/>
              <w:text/>
            </w:sdtPr>
            <w:sdtEndPr/>
            <w:sdtContent>
              <w:r w:rsidR="001A7A6C">
                <w:rPr>
                  <w:rFonts w:eastAsia="Times New Roman"/>
                  <w:bCs w:val="0"/>
                  <w:caps w:val="0"/>
                </w:rPr>
                <w:t>EX ANTE EVALUATION OF THE OPERATIONAL PROGRAMME OF THE FUND FOR EUROPEAN AID TO THE MOST DEPRIVED</w:t>
              </w:r>
            </w:sdtContent>
          </w:sdt>
          <w:r w:rsidR="00F831FE" w:rsidRPr="003271C8">
            <w:rPr>
              <w:rStyle w:val="HeaderTextChar"/>
              <w:bCs/>
              <w:caps/>
            </w:rPr>
            <w:t xml:space="preserve"> </w:t>
          </w:r>
        </w:p>
      </w:tc>
      <w:tc>
        <w:tcPr>
          <w:tcW w:w="1276" w:type="dxa"/>
          <w:shd w:val="clear" w:color="auto" w:fill="auto"/>
        </w:tcPr>
        <w:p w:rsidR="00F831FE" w:rsidRPr="00CC5362" w:rsidRDefault="00F831FE" w:rsidP="00F43244">
          <w:pPr>
            <w:pStyle w:val="HeaderText"/>
            <w:spacing w:line="240" w:lineRule="auto"/>
            <w:rPr>
              <w:rStyle w:val="HeaderTextChar"/>
              <w:bCs/>
              <w:caps/>
            </w:rPr>
          </w:pPr>
        </w:p>
      </w:tc>
    </w:tr>
  </w:tbl>
  <w:p w:rsidR="00F831FE" w:rsidRDefault="00F831FE">
    <w:pPr>
      <w:pStyle w:val="Header"/>
    </w:pPr>
  </w:p>
  <w:p w:rsidR="00F831FE" w:rsidRDefault="00F831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564"/>
    <w:multiLevelType w:val="multilevel"/>
    <w:tmpl w:val="D5E076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F2207"/>
    <w:multiLevelType w:val="multilevel"/>
    <w:tmpl w:val="3C60B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3333A"/>
    <w:multiLevelType w:val="multilevel"/>
    <w:tmpl w:val="D116B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7028C"/>
    <w:multiLevelType w:val="multilevel"/>
    <w:tmpl w:val="BDF6F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6B54452"/>
    <w:multiLevelType w:val="hybridMultilevel"/>
    <w:tmpl w:val="EF9007B0"/>
    <w:lvl w:ilvl="0" w:tplc="245C3C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6EB757C"/>
    <w:multiLevelType w:val="hybridMultilevel"/>
    <w:tmpl w:val="1F50B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6EC0AB4"/>
    <w:multiLevelType w:val="hybridMultilevel"/>
    <w:tmpl w:val="89DA184C"/>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75A059A"/>
    <w:multiLevelType w:val="multilevel"/>
    <w:tmpl w:val="18AA88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36FD1"/>
    <w:multiLevelType w:val="multilevel"/>
    <w:tmpl w:val="EEBC4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41723"/>
    <w:multiLevelType w:val="multilevel"/>
    <w:tmpl w:val="7BEA5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43CF5"/>
    <w:multiLevelType w:val="hybridMultilevel"/>
    <w:tmpl w:val="91FACB70"/>
    <w:lvl w:ilvl="0" w:tplc="245C3CCA">
      <w:start w:val="1"/>
      <w:numFmt w:val="decimal"/>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BD5009"/>
    <w:multiLevelType w:val="hybridMultilevel"/>
    <w:tmpl w:val="50C650A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01897"/>
    <w:multiLevelType w:val="hybridMultilevel"/>
    <w:tmpl w:val="41EC55B0"/>
    <w:lvl w:ilvl="0" w:tplc="245C3C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C6A2017"/>
    <w:multiLevelType w:val="multilevel"/>
    <w:tmpl w:val="A3CEB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2C41BF"/>
    <w:multiLevelType w:val="hybridMultilevel"/>
    <w:tmpl w:val="209448B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5EB397D"/>
    <w:multiLevelType w:val="hybridMultilevel"/>
    <w:tmpl w:val="B7F0FC8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3CC22356"/>
    <w:multiLevelType w:val="multilevel"/>
    <w:tmpl w:val="9C1425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CD1E23"/>
    <w:multiLevelType w:val="hybridMultilevel"/>
    <w:tmpl w:val="DB18B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DF80C31"/>
    <w:multiLevelType w:val="multilevel"/>
    <w:tmpl w:val="D3227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0A3A4E"/>
    <w:multiLevelType w:val="hybridMultilevel"/>
    <w:tmpl w:val="7DC8E9C8"/>
    <w:lvl w:ilvl="0" w:tplc="5E020148">
      <w:start w:val="1"/>
      <w:numFmt w:val="decimal"/>
      <w:lvlText w:val="%1."/>
      <w:lvlJc w:val="left"/>
      <w:pPr>
        <w:ind w:left="720" w:hanging="360"/>
      </w:pPr>
      <w:rPr>
        <w:rFonts w:hint="default"/>
        <w:color w:val="036575" w:themeColor="accent5" w:themeTint="E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25915B7"/>
    <w:multiLevelType w:val="hybridMultilevel"/>
    <w:tmpl w:val="691A7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A7846"/>
    <w:multiLevelType w:val="multilevel"/>
    <w:tmpl w:val="B9185C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5C4361"/>
    <w:multiLevelType w:val="multilevel"/>
    <w:tmpl w:val="302C955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0F169C"/>
    <w:multiLevelType w:val="hybridMultilevel"/>
    <w:tmpl w:val="2B5234B0"/>
    <w:lvl w:ilvl="0" w:tplc="954E4C3E">
      <w:start w:val="1"/>
      <w:numFmt w:val="decimal"/>
      <w:lvlText w:val="%1)"/>
      <w:lvlJc w:val="left"/>
      <w:pPr>
        <w:ind w:left="720" w:hanging="360"/>
      </w:pPr>
      <w:rPr>
        <w:rFonts w:hint="default"/>
      </w:rPr>
    </w:lvl>
    <w:lvl w:ilvl="1" w:tplc="6E483468" w:tentative="1">
      <w:start w:val="1"/>
      <w:numFmt w:val="lowerLetter"/>
      <w:lvlText w:val="%2."/>
      <w:lvlJc w:val="left"/>
      <w:pPr>
        <w:ind w:left="1440" w:hanging="360"/>
      </w:pPr>
    </w:lvl>
    <w:lvl w:ilvl="2" w:tplc="052CA11C" w:tentative="1">
      <w:start w:val="1"/>
      <w:numFmt w:val="lowerRoman"/>
      <w:lvlText w:val="%3."/>
      <w:lvlJc w:val="right"/>
      <w:pPr>
        <w:ind w:left="2160" w:hanging="180"/>
      </w:pPr>
    </w:lvl>
    <w:lvl w:ilvl="3" w:tplc="620AA7D4" w:tentative="1">
      <w:start w:val="1"/>
      <w:numFmt w:val="decimal"/>
      <w:lvlText w:val="%4."/>
      <w:lvlJc w:val="left"/>
      <w:pPr>
        <w:ind w:left="2880" w:hanging="360"/>
      </w:pPr>
    </w:lvl>
    <w:lvl w:ilvl="4" w:tplc="F8A43C74" w:tentative="1">
      <w:start w:val="1"/>
      <w:numFmt w:val="lowerLetter"/>
      <w:lvlText w:val="%5."/>
      <w:lvlJc w:val="left"/>
      <w:pPr>
        <w:ind w:left="3600" w:hanging="360"/>
      </w:pPr>
    </w:lvl>
    <w:lvl w:ilvl="5" w:tplc="77FA4DEC" w:tentative="1">
      <w:start w:val="1"/>
      <w:numFmt w:val="lowerRoman"/>
      <w:lvlText w:val="%6."/>
      <w:lvlJc w:val="right"/>
      <w:pPr>
        <w:ind w:left="4320" w:hanging="180"/>
      </w:pPr>
    </w:lvl>
    <w:lvl w:ilvl="6" w:tplc="AFACD180" w:tentative="1">
      <w:start w:val="1"/>
      <w:numFmt w:val="decimal"/>
      <w:lvlText w:val="%7."/>
      <w:lvlJc w:val="left"/>
      <w:pPr>
        <w:ind w:left="5040" w:hanging="360"/>
      </w:pPr>
    </w:lvl>
    <w:lvl w:ilvl="7" w:tplc="D17AAF98" w:tentative="1">
      <w:start w:val="1"/>
      <w:numFmt w:val="lowerLetter"/>
      <w:lvlText w:val="%8."/>
      <w:lvlJc w:val="left"/>
      <w:pPr>
        <w:ind w:left="5760" w:hanging="360"/>
      </w:pPr>
    </w:lvl>
    <w:lvl w:ilvl="8" w:tplc="0278F60A" w:tentative="1">
      <w:start w:val="1"/>
      <w:numFmt w:val="lowerRoman"/>
      <w:lvlText w:val="%9."/>
      <w:lvlJc w:val="right"/>
      <w:pPr>
        <w:ind w:left="6480" w:hanging="180"/>
      </w:pPr>
    </w:lvl>
  </w:abstractNum>
  <w:abstractNum w:abstractNumId="24">
    <w:nsid w:val="5142227E"/>
    <w:multiLevelType w:val="multilevel"/>
    <w:tmpl w:val="00447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4E1FF1"/>
    <w:multiLevelType w:val="multilevel"/>
    <w:tmpl w:val="0CEC2E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7C7757"/>
    <w:multiLevelType w:val="multilevel"/>
    <w:tmpl w:val="270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A71689D"/>
    <w:multiLevelType w:val="multilevel"/>
    <w:tmpl w:val="4EE8A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BF57D48"/>
    <w:multiLevelType w:val="multilevel"/>
    <w:tmpl w:val="2CFAD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0260DA"/>
    <w:multiLevelType w:val="multilevel"/>
    <w:tmpl w:val="ED381360"/>
    <w:lvl w:ilvl="0">
      <w:start w:val="1"/>
      <w:numFmt w:val="decimal"/>
      <w:pStyle w:val="Heading2"/>
      <w:lvlText w:val="%1."/>
      <w:lvlJc w:val="left"/>
      <w:pPr>
        <w:tabs>
          <w:tab w:val="num" w:pos="680"/>
        </w:tabs>
        <w:ind w:left="680" w:hanging="680"/>
      </w:pPr>
      <w:rPr>
        <w:rFonts w:asciiTheme="majorHAnsi" w:eastAsia="Lucida Sans Unicode" w:hAnsiTheme="majorHAnsi" w:cstheme="majorBidi" w:hint="default"/>
        <w:i w:val="0"/>
      </w:rPr>
    </w:lvl>
    <w:lvl w:ilvl="1">
      <w:start w:val="1"/>
      <w:numFmt w:val="decimal"/>
      <w:pStyle w:val="Heading3"/>
      <w:lvlText w:val="%1.%2."/>
      <w:lvlJc w:val="left"/>
      <w:pPr>
        <w:tabs>
          <w:tab w:val="num" w:pos="680"/>
        </w:tabs>
        <w:ind w:left="680" w:hanging="680"/>
      </w:pPr>
      <w:rPr>
        <w:rFonts w:hint="default"/>
      </w:rPr>
    </w:lvl>
    <w:lvl w:ilvl="2">
      <w:start w:val="1"/>
      <w:numFmt w:val="decimal"/>
      <w:pStyle w:val="Heading4"/>
      <w:lvlText w:val="%1.%2.%3."/>
      <w:lvlJc w:val="left"/>
      <w:pPr>
        <w:tabs>
          <w:tab w:val="num" w:pos="680"/>
        </w:tabs>
        <w:ind w:left="680" w:hanging="680"/>
      </w:pPr>
      <w:rPr>
        <w:rFonts w:hint="default"/>
      </w:rPr>
    </w:lvl>
    <w:lvl w:ilvl="3">
      <w:start w:val="1"/>
      <w:numFmt w:val="decimal"/>
      <w:pStyle w:val="Heading5"/>
      <w:lvlText w:val="%1.%2.%3.%4."/>
      <w:lvlJc w:val="left"/>
      <w:pPr>
        <w:tabs>
          <w:tab w:val="num" w:pos="680"/>
        </w:tabs>
        <w:ind w:left="680" w:hanging="680"/>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680"/>
        </w:tabs>
        <w:ind w:left="680" w:hanging="680"/>
      </w:pPr>
      <w:rPr>
        <w:rFonts w:hint="default"/>
      </w:rPr>
    </w:lvl>
    <w:lvl w:ilvl="6">
      <w:start w:val="1"/>
      <w:numFmt w:val="decimal"/>
      <w:lvlText w:val="%1.%2.%3.%4.%5.%6.%7."/>
      <w:lvlJc w:val="left"/>
      <w:pPr>
        <w:tabs>
          <w:tab w:val="num" w:pos="680"/>
        </w:tabs>
        <w:ind w:left="680" w:hanging="680"/>
      </w:pPr>
      <w:rPr>
        <w:rFonts w:hint="default"/>
      </w:rPr>
    </w:lvl>
    <w:lvl w:ilvl="7">
      <w:start w:val="1"/>
      <w:numFmt w:val="decimal"/>
      <w:lvlText w:val="%1.%2.%3.%4.%5.%6.%7.%8."/>
      <w:lvlJc w:val="left"/>
      <w:pPr>
        <w:tabs>
          <w:tab w:val="num" w:pos="680"/>
        </w:tabs>
        <w:ind w:left="680" w:hanging="680"/>
      </w:pPr>
      <w:rPr>
        <w:rFonts w:hint="default"/>
      </w:rPr>
    </w:lvl>
    <w:lvl w:ilvl="8">
      <w:start w:val="1"/>
      <w:numFmt w:val="decimal"/>
      <w:lvlText w:val="%1.%2.%3.%4.%5.%6.%7.%8.%9."/>
      <w:lvlJc w:val="left"/>
      <w:pPr>
        <w:tabs>
          <w:tab w:val="num" w:pos="680"/>
        </w:tabs>
        <w:ind w:left="680" w:hanging="680"/>
      </w:pPr>
      <w:rPr>
        <w:rFonts w:hint="default"/>
      </w:rPr>
    </w:lvl>
  </w:abstractNum>
  <w:abstractNum w:abstractNumId="30">
    <w:nsid w:val="5D874ACD"/>
    <w:multiLevelType w:val="hybridMultilevel"/>
    <w:tmpl w:val="4CC48C5A"/>
    <w:lvl w:ilvl="0" w:tplc="DFA209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24577"/>
    <w:multiLevelType w:val="hybridMultilevel"/>
    <w:tmpl w:val="7DC8E9C8"/>
    <w:lvl w:ilvl="0" w:tplc="5E020148">
      <w:start w:val="1"/>
      <w:numFmt w:val="decimal"/>
      <w:lvlText w:val="%1."/>
      <w:lvlJc w:val="left"/>
      <w:pPr>
        <w:ind w:left="720" w:hanging="360"/>
      </w:pPr>
      <w:rPr>
        <w:rFonts w:hint="default"/>
        <w:color w:val="036575" w:themeColor="accent5" w:themeTint="E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11B208D"/>
    <w:multiLevelType w:val="multilevel"/>
    <w:tmpl w:val="0C60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CF1B1B"/>
    <w:multiLevelType w:val="multilevel"/>
    <w:tmpl w:val="11100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F87803"/>
    <w:multiLevelType w:val="hybridMultilevel"/>
    <w:tmpl w:val="7170716C"/>
    <w:lvl w:ilvl="0" w:tplc="72FA4C70">
      <w:start w:val="2014"/>
      <w:numFmt w:val="bullet"/>
      <w:lvlText w:val="-"/>
      <w:lvlJc w:val="left"/>
      <w:pPr>
        <w:ind w:left="1080" w:hanging="360"/>
      </w:pPr>
      <w:rPr>
        <w:rFonts w:ascii="Cambria" w:eastAsiaTheme="minorEastAsia" w:hAnsi="Cambria" w:cstheme="minorBidi" w:hint="default"/>
      </w:rPr>
    </w:lvl>
    <w:lvl w:ilvl="1" w:tplc="72FA4C70">
      <w:start w:val="2014"/>
      <w:numFmt w:val="bullet"/>
      <w:lvlText w:val="-"/>
      <w:lvlJc w:val="left"/>
      <w:pPr>
        <w:ind w:left="1800" w:hanging="360"/>
      </w:pPr>
      <w:rPr>
        <w:rFonts w:ascii="Cambria" w:eastAsiaTheme="minorEastAsia" w:hAnsi="Cambria" w:cstheme="minorBidi"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nsid w:val="65122229"/>
    <w:multiLevelType w:val="hybridMultilevel"/>
    <w:tmpl w:val="8FB49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8148FD"/>
    <w:multiLevelType w:val="hybridMultilevel"/>
    <w:tmpl w:val="C2F0FEB2"/>
    <w:lvl w:ilvl="0" w:tplc="245C3C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72C4D2A"/>
    <w:multiLevelType w:val="hybridMultilevel"/>
    <w:tmpl w:val="D0BEC020"/>
    <w:lvl w:ilvl="0" w:tplc="1CD807CC">
      <w:start w:val="1"/>
      <w:numFmt w:val="decimal"/>
      <w:lvlText w:val="%1."/>
      <w:lvlJc w:val="left"/>
      <w:pPr>
        <w:ind w:left="720" w:hanging="360"/>
      </w:pPr>
      <w:rPr>
        <w:rFonts w:hint="default"/>
        <w:color w:val="036575" w:themeColor="accent5" w:themeTint="E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95700B4"/>
    <w:multiLevelType w:val="hybridMultilevel"/>
    <w:tmpl w:val="3B5A45F4"/>
    <w:styleLink w:val="StyleBulleted2"/>
    <w:lvl w:ilvl="0" w:tplc="FFFFFFFF">
      <w:start w:val="1"/>
      <w:numFmt w:val="bullet"/>
      <w:lvlText w:val=""/>
      <w:lvlJc w:val="left"/>
      <w:pPr>
        <w:tabs>
          <w:tab w:val="num" w:pos="600"/>
        </w:tabs>
        <w:ind w:left="60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968199E"/>
    <w:multiLevelType w:val="multilevel"/>
    <w:tmpl w:val="1428A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265D2F"/>
    <w:multiLevelType w:val="hybridMultilevel"/>
    <w:tmpl w:val="3BD6D4AE"/>
    <w:lvl w:ilvl="0" w:tplc="04090011">
      <w:start w:val="1"/>
      <w:numFmt w:val="decimal"/>
      <w:lvlText w:val="%1)"/>
      <w:lvlJc w:val="left"/>
      <w:pPr>
        <w:ind w:left="1225" w:hanging="360"/>
      </w:pPr>
      <w:rPr>
        <w:rFonts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41">
    <w:nsid w:val="6BC64FE2"/>
    <w:multiLevelType w:val="hybridMultilevel"/>
    <w:tmpl w:val="9C087B4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nsid w:val="6C4B38CF"/>
    <w:multiLevelType w:val="hybridMultilevel"/>
    <w:tmpl w:val="27A2CDE6"/>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F880B68"/>
    <w:multiLevelType w:val="multilevel"/>
    <w:tmpl w:val="86F6FB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CE46BC"/>
    <w:multiLevelType w:val="multilevel"/>
    <w:tmpl w:val="DD2692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E95D7F"/>
    <w:multiLevelType w:val="multilevel"/>
    <w:tmpl w:val="6D0AA288"/>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nsid w:val="7EC52D4E"/>
    <w:multiLevelType w:val="hybridMultilevel"/>
    <w:tmpl w:val="74FA3164"/>
    <w:name w:val="3.194857E-02"/>
    <w:lvl w:ilvl="0" w:tplc="C19AA3BC">
      <w:start w:val="1"/>
      <w:numFmt w:val="bullet"/>
      <w:lvlText w:val=""/>
      <w:lvlJc w:val="left"/>
      <w:pPr>
        <w:ind w:left="1023" w:hanging="360"/>
      </w:pPr>
      <w:rPr>
        <w:rFonts w:ascii="Symbol" w:hAnsi="Symbol" w:hint="default"/>
      </w:rPr>
    </w:lvl>
    <w:lvl w:ilvl="1" w:tplc="0E88EC80" w:tentative="1">
      <w:start w:val="1"/>
      <w:numFmt w:val="bullet"/>
      <w:lvlText w:val="o"/>
      <w:lvlJc w:val="left"/>
      <w:pPr>
        <w:ind w:left="1743" w:hanging="360"/>
      </w:pPr>
      <w:rPr>
        <w:rFonts w:ascii="Courier New" w:hAnsi="Courier New" w:cs="Courier New" w:hint="default"/>
      </w:rPr>
    </w:lvl>
    <w:lvl w:ilvl="2" w:tplc="AE5EC356" w:tentative="1">
      <w:start w:val="1"/>
      <w:numFmt w:val="bullet"/>
      <w:lvlText w:val=""/>
      <w:lvlJc w:val="left"/>
      <w:pPr>
        <w:ind w:left="2463" w:hanging="360"/>
      </w:pPr>
      <w:rPr>
        <w:rFonts w:ascii="Wingdings" w:hAnsi="Wingdings" w:hint="default"/>
      </w:rPr>
    </w:lvl>
    <w:lvl w:ilvl="3" w:tplc="627EDA60" w:tentative="1">
      <w:start w:val="1"/>
      <w:numFmt w:val="bullet"/>
      <w:lvlText w:val=""/>
      <w:lvlJc w:val="left"/>
      <w:pPr>
        <w:ind w:left="3183" w:hanging="360"/>
      </w:pPr>
      <w:rPr>
        <w:rFonts w:ascii="Symbol" w:hAnsi="Symbol" w:hint="default"/>
      </w:rPr>
    </w:lvl>
    <w:lvl w:ilvl="4" w:tplc="4296ECC0" w:tentative="1">
      <w:start w:val="1"/>
      <w:numFmt w:val="bullet"/>
      <w:lvlText w:val="o"/>
      <w:lvlJc w:val="left"/>
      <w:pPr>
        <w:ind w:left="3903" w:hanging="360"/>
      </w:pPr>
      <w:rPr>
        <w:rFonts w:ascii="Courier New" w:hAnsi="Courier New" w:cs="Courier New" w:hint="default"/>
      </w:rPr>
    </w:lvl>
    <w:lvl w:ilvl="5" w:tplc="18A8515A" w:tentative="1">
      <w:start w:val="1"/>
      <w:numFmt w:val="bullet"/>
      <w:lvlText w:val=""/>
      <w:lvlJc w:val="left"/>
      <w:pPr>
        <w:ind w:left="4623" w:hanging="360"/>
      </w:pPr>
      <w:rPr>
        <w:rFonts w:ascii="Wingdings" w:hAnsi="Wingdings" w:hint="default"/>
      </w:rPr>
    </w:lvl>
    <w:lvl w:ilvl="6" w:tplc="7CAE848E" w:tentative="1">
      <w:start w:val="1"/>
      <w:numFmt w:val="bullet"/>
      <w:lvlText w:val=""/>
      <w:lvlJc w:val="left"/>
      <w:pPr>
        <w:ind w:left="5343" w:hanging="360"/>
      </w:pPr>
      <w:rPr>
        <w:rFonts w:ascii="Symbol" w:hAnsi="Symbol" w:hint="default"/>
      </w:rPr>
    </w:lvl>
    <w:lvl w:ilvl="7" w:tplc="D6B2139A" w:tentative="1">
      <w:start w:val="1"/>
      <w:numFmt w:val="bullet"/>
      <w:lvlText w:val="o"/>
      <w:lvlJc w:val="left"/>
      <w:pPr>
        <w:ind w:left="6063" w:hanging="360"/>
      </w:pPr>
      <w:rPr>
        <w:rFonts w:ascii="Courier New" w:hAnsi="Courier New" w:cs="Courier New" w:hint="default"/>
      </w:rPr>
    </w:lvl>
    <w:lvl w:ilvl="8" w:tplc="58402B14" w:tentative="1">
      <w:start w:val="1"/>
      <w:numFmt w:val="bullet"/>
      <w:lvlText w:val=""/>
      <w:lvlJc w:val="left"/>
      <w:pPr>
        <w:ind w:left="6783" w:hanging="360"/>
      </w:pPr>
      <w:rPr>
        <w:rFonts w:ascii="Wingdings" w:hAnsi="Wingdings" w:hint="default"/>
      </w:rPr>
    </w:lvl>
  </w:abstractNum>
  <w:num w:numId="1">
    <w:abstractNumId w:val="29"/>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3"/>
  </w:num>
  <w:num w:numId="5">
    <w:abstractNumId w:val="41"/>
  </w:num>
  <w:num w:numId="6">
    <w:abstractNumId w:val="10"/>
  </w:num>
  <w:num w:numId="7">
    <w:abstractNumId w:val="40"/>
  </w:num>
  <w:num w:numId="8">
    <w:abstractNumId w:val="42"/>
  </w:num>
  <w:num w:numId="9">
    <w:abstractNumId w:val="30"/>
  </w:num>
  <w:num w:numId="10">
    <w:abstractNumId w:val="19"/>
  </w:num>
  <w:num w:numId="11">
    <w:abstractNumId w:val="36"/>
  </w:num>
  <w:num w:numId="12">
    <w:abstractNumId w:val="12"/>
  </w:num>
  <w:num w:numId="13">
    <w:abstractNumId w:val="4"/>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7"/>
  </w:num>
  <w:num w:numId="17">
    <w:abstractNumId w:val="35"/>
  </w:num>
  <w:num w:numId="18">
    <w:abstractNumId w:val="11"/>
  </w:num>
  <w:num w:numId="19">
    <w:abstractNumId w:val="20"/>
  </w:num>
  <w:num w:numId="20">
    <w:abstractNumId w:val="31"/>
  </w:num>
  <w:num w:numId="21">
    <w:abstractNumId w:val="3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34"/>
  </w:num>
  <w:num w:numId="26">
    <w:abstractNumId w:val="3"/>
  </w:num>
  <w:num w:numId="27">
    <w:abstractNumId w:val="27"/>
  </w:num>
  <w:num w:numId="28">
    <w:abstractNumId w:val="24"/>
  </w:num>
  <w:num w:numId="29">
    <w:abstractNumId w:val="32"/>
  </w:num>
  <w:num w:numId="30">
    <w:abstractNumId w:val="28"/>
  </w:num>
  <w:num w:numId="31">
    <w:abstractNumId w:val="7"/>
  </w:num>
  <w:num w:numId="32">
    <w:abstractNumId w:val="22"/>
  </w:num>
  <w:num w:numId="33">
    <w:abstractNumId w:val="39"/>
  </w:num>
  <w:num w:numId="34">
    <w:abstractNumId w:val="18"/>
  </w:num>
  <w:num w:numId="35">
    <w:abstractNumId w:val="43"/>
  </w:num>
  <w:num w:numId="36">
    <w:abstractNumId w:val="25"/>
  </w:num>
  <w:num w:numId="37">
    <w:abstractNumId w:val="13"/>
  </w:num>
  <w:num w:numId="38">
    <w:abstractNumId w:val="44"/>
  </w:num>
  <w:num w:numId="39">
    <w:abstractNumId w:val="1"/>
  </w:num>
  <w:num w:numId="40">
    <w:abstractNumId w:val="15"/>
  </w:num>
  <w:num w:numId="41">
    <w:abstractNumId w:val="21"/>
  </w:num>
  <w:num w:numId="42">
    <w:abstractNumId w:val="9"/>
  </w:num>
  <w:num w:numId="43">
    <w:abstractNumId w:val="8"/>
  </w:num>
  <w:num w:numId="44">
    <w:abstractNumId w:val="2"/>
  </w:num>
  <w:num w:numId="45">
    <w:abstractNumId w:val="0"/>
  </w:num>
  <w:num w:numId="46">
    <w:abstractNumId w:val="33"/>
  </w:num>
  <w:num w:numId="47">
    <w:abstractNumId w:val="16"/>
  </w:num>
  <w:num w:numId="48">
    <w:abstractNumId w:val="2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ė">
    <w15:presenceInfo w15:providerId="None" w15:userId="Justė"/>
  </w15:person>
  <w15:person w15:author="justesea@gmail.com">
    <w15:presenceInfo w15:providerId="None" w15:userId="justesea@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2"/>
  </w:compat>
  <w:rsids>
    <w:rsidRoot w:val="00C52A05"/>
    <w:rsid w:val="00000066"/>
    <w:rsid w:val="00000B86"/>
    <w:rsid w:val="0000188E"/>
    <w:rsid w:val="00001FB9"/>
    <w:rsid w:val="00001FC5"/>
    <w:rsid w:val="000036AD"/>
    <w:rsid w:val="00004789"/>
    <w:rsid w:val="00004D88"/>
    <w:rsid w:val="00006095"/>
    <w:rsid w:val="00006517"/>
    <w:rsid w:val="00006721"/>
    <w:rsid w:val="00006747"/>
    <w:rsid w:val="00007D96"/>
    <w:rsid w:val="00011128"/>
    <w:rsid w:val="0001119B"/>
    <w:rsid w:val="000112BC"/>
    <w:rsid w:val="000117B2"/>
    <w:rsid w:val="00011C91"/>
    <w:rsid w:val="00011D61"/>
    <w:rsid w:val="00011DC4"/>
    <w:rsid w:val="00012778"/>
    <w:rsid w:val="00012E3F"/>
    <w:rsid w:val="00012EC2"/>
    <w:rsid w:val="00014981"/>
    <w:rsid w:val="00014BB2"/>
    <w:rsid w:val="000160CE"/>
    <w:rsid w:val="00016CE7"/>
    <w:rsid w:val="00021E8A"/>
    <w:rsid w:val="0002237F"/>
    <w:rsid w:val="0002281B"/>
    <w:rsid w:val="00023B34"/>
    <w:rsid w:val="000246FF"/>
    <w:rsid w:val="00024EA6"/>
    <w:rsid w:val="00025442"/>
    <w:rsid w:val="00025EC9"/>
    <w:rsid w:val="00025ECE"/>
    <w:rsid w:val="00030704"/>
    <w:rsid w:val="00030AC4"/>
    <w:rsid w:val="000318B2"/>
    <w:rsid w:val="0003211E"/>
    <w:rsid w:val="000328D4"/>
    <w:rsid w:val="0003297F"/>
    <w:rsid w:val="00033537"/>
    <w:rsid w:val="00034106"/>
    <w:rsid w:val="0003421C"/>
    <w:rsid w:val="00034DC3"/>
    <w:rsid w:val="000358AC"/>
    <w:rsid w:val="0003660E"/>
    <w:rsid w:val="00036634"/>
    <w:rsid w:val="0003757C"/>
    <w:rsid w:val="0004007A"/>
    <w:rsid w:val="0004059E"/>
    <w:rsid w:val="00040B0E"/>
    <w:rsid w:val="0004114A"/>
    <w:rsid w:val="0004233F"/>
    <w:rsid w:val="000426CF"/>
    <w:rsid w:val="00043524"/>
    <w:rsid w:val="000444D1"/>
    <w:rsid w:val="000453ED"/>
    <w:rsid w:val="00045FB5"/>
    <w:rsid w:val="000464BA"/>
    <w:rsid w:val="000474D9"/>
    <w:rsid w:val="0004778C"/>
    <w:rsid w:val="00047A06"/>
    <w:rsid w:val="00047C36"/>
    <w:rsid w:val="000511C5"/>
    <w:rsid w:val="00052109"/>
    <w:rsid w:val="00052253"/>
    <w:rsid w:val="00052695"/>
    <w:rsid w:val="000526FC"/>
    <w:rsid w:val="00052876"/>
    <w:rsid w:val="00052D2A"/>
    <w:rsid w:val="00052DEB"/>
    <w:rsid w:val="0005303D"/>
    <w:rsid w:val="00053174"/>
    <w:rsid w:val="00054290"/>
    <w:rsid w:val="00054AA5"/>
    <w:rsid w:val="00055064"/>
    <w:rsid w:val="00055706"/>
    <w:rsid w:val="00056658"/>
    <w:rsid w:val="000602FC"/>
    <w:rsid w:val="000611EE"/>
    <w:rsid w:val="00062ABB"/>
    <w:rsid w:val="00063EDA"/>
    <w:rsid w:val="00064B48"/>
    <w:rsid w:val="00065549"/>
    <w:rsid w:val="00066652"/>
    <w:rsid w:val="00066658"/>
    <w:rsid w:val="00066FA8"/>
    <w:rsid w:val="00066FE0"/>
    <w:rsid w:val="00067CD9"/>
    <w:rsid w:val="000705A8"/>
    <w:rsid w:val="0007224F"/>
    <w:rsid w:val="00072F0E"/>
    <w:rsid w:val="00073B73"/>
    <w:rsid w:val="00074A12"/>
    <w:rsid w:val="000750A5"/>
    <w:rsid w:val="000757CA"/>
    <w:rsid w:val="00075A95"/>
    <w:rsid w:val="00075F66"/>
    <w:rsid w:val="00076841"/>
    <w:rsid w:val="000769C4"/>
    <w:rsid w:val="00076D9F"/>
    <w:rsid w:val="00080002"/>
    <w:rsid w:val="000802F4"/>
    <w:rsid w:val="000806E9"/>
    <w:rsid w:val="00081FD4"/>
    <w:rsid w:val="00082E11"/>
    <w:rsid w:val="0008389B"/>
    <w:rsid w:val="0008422C"/>
    <w:rsid w:val="00084392"/>
    <w:rsid w:val="00084BD9"/>
    <w:rsid w:val="00085940"/>
    <w:rsid w:val="00085DAE"/>
    <w:rsid w:val="00090437"/>
    <w:rsid w:val="00090B2D"/>
    <w:rsid w:val="0009163B"/>
    <w:rsid w:val="00092169"/>
    <w:rsid w:val="00092299"/>
    <w:rsid w:val="0009258A"/>
    <w:rsid w:val="000931D6"/>
    <w:rsid w:val="000942EA"/>
    <w:rsid w:val="00094B82"/>
    <w:rsid w:val="00095AEA"/>
    <w:rsid w:val="00095B3E"/>
    <w:rsid w:val="00095C33"/>
    <w:rsid w:val="00096754"/>
    <w:rsid w:val="0009700B"/>
    <w:rsid w:val="000A03B8"/>
    <w:rsid w:val="000A0803"/>
    <w:rsid w:val="000A2A4B"/>
    <w:rsid w:val="000A2BB8"/>
    <w:rsid w:val="000A2ECF"/>
    <w:rsid w:val="000A36A4"/>
    <w:rsid w:val="000A3DBF"/>
    <w:rsid w:val="000A467E"/>
    <w:rsid w:val="000A5259"/>
    <w:rsid w:val="000A539B"/>
    <w:rsid w:val="000A56E6"/>
    <w:rsid w:val="000A736F"/>
    <w:rsid w:val="000A762C"/>
    <w:rsid w:val="000B0E7C"/>
    <w:rsid w:val="000B0F28"/>
    <w:rsid w:val="000B1AD2"/>
    <w:rsid w:val="000B28B9"/>
    <w:rsid w:val="000B2AA4"/>
    <w:rsid w:val="000B4646"/>
    <w:rsid w:val="000B5245"/>
    <w:rsid w:val="000B5296"/>
    <w:rsid w:val="000B5E67"/>
    <w:rsid w:val="000B63D3"/>
    <w:rsid w:val="000B695F"/>
    <w:rsid w:val="000B6A56"/>
    <w:rsid w:val="000B7166"/>
    <w:rsid w:val="000C128A"/>
    <w:rsid w:val="000C14E4"/>
    <w:rsid w:val="000C1CB2"/>
    <w:rsid w:val="000C4B96"/>
    <w:rsid w:val="000C519D"/>
    <w:rsid w:val="000C55CF"/>
    <w:rsid w:val="000C6DE6"/>
    <w:rsid w:val="000C73BD"/>
    <w:rsid w:val="000C7870"/>
    <w:rsid w:val="000D0D84"/>
    <w:rsid w:val="000D160F"/>
    <w:rsid w:val="000D1A51"/>
    <w:rsid w:val="000D28E3"/>
    <w:rsid w:val="000D36B0"/>
    <w:rsid w:val="000D4870"/>
    <w:rsid w:val="000D515A"/>
    <w:rsid w:val="000D559F"/>
    <w:rsid w:val="000D6073"/>
    <w:rsid w:val="000D662B"/>
    <w:rsid w:val="000D683B"/>
    <w:rsid w:val="000D72D5"/>
    <w:rsid w:val="000E0220"/>
    <w:rsid w:val="000E076E"/>
    <w:rsid w:val="000E0786"/>
    <w:rsid w:val="000E0E2A"/>
    <w:rsid w:val="000E1475"/>
    <w:rsid w:val="000E1CB1"/>
    <w:rsid w:val="000E263B"/>
    <w:rsid w:val="000E3AC4"/>
    <w:rsid w:val="000E3B76"/>
    <w:rsid w:val="000E5681"/>
    <w:rsid w:val="000E5AEB"/>
    <w:rsid w:val="000E60BB"/>
    <w:rsid w:val="000E652D"/>
    <w:rsid w:val="000E65D2"/>
    <w:rsid w:val="000E774F"/>
    <w:rsid w:val="000E7904"/>
    <w:rsid w:val="000F1311"/>
    <w:rsid w:val="000F1BC5"/>
    <w:rsid w:val="000F221B"/>
    <w:rsid w:val="000F23E9"/>
    <w:rsid w:val="000F3047"/>
    <w:rsid w:val="000F3319"/>
    <w:rsid w:val="000F4576"/>
    <w:rsid w:val="000F468A"/>
    <w:rsid w:val="000F4A42"/>
    <w:rsid w:val="000F4B2E"/>
    <w:rsid w:val="000F53DB"/>
    <w:rsid w:val="000F6B1D"/>
    <w:rsid w:val="000F6BF6"/>
    <w:rsid w:val="000F7820"/>
    <w:rsid w:val="00100CCA"/>
    <w:rsid w:val="00100D7D"/>
    <w:rsid w:val="00101CB2"/>
    <w:rsid w:val="001021CE"/>
    <w:rsid w:val="00102529"/>
    <w:rsid w:val="00102BF6"/>
    <w:rsid w:val="0010610F"/>
    <w:rsid w:val="00106629"/>
    <w:rsid w:val="001104BF"/>
    <w:rsid w:val="0011295A"/>
    <w:rsid w:val="00112B4E"/>
    <w:rsid w:val="00114FD6"/>
    <w:rsid w:val="0011656C"/>
    <w:rsid w:val="0011676C"/>
    <w:rsid w:val="00120124"/>
    <w:rsid w:val="00120646"/>
    <w:rsid w:val="001208A2"/>
    <w:rsid w:val="001209EA"/>
    <w:rsid w:val="00120F42"/>
    <w:rsid w:val="00121CFC"/>
    <w:rsid w:val="00122004"/>
    <w:rsid w:val="00123135"/>
    <w:rsid w:val="001232FD"/>
    <w:rsid w:val="00123316"/>
    <w:rsid w:val="0012369C"/>
    <w:rsid w:val="001241F8"/>
    <w:rsid w:val="00125348"/>
    <w:rsid w:val="00125923"/>
    <w:rsid w:val="00126339"/>
    <w:rsid w:val="00130958"/>
    <w:rsid w:val="00131497"/>
    <w:rsid w:val="0013154C"/>
    <w:rsid w:val="00131CC5"/>
    <w:rsid w:val="001320DC"/>
    <w:rsid w:val="00132122"/>
    <w:rsid w:val="00132C4B"/>
    <w:rsid w:val="00133133"/>
    <w:rsid w:val="001338A3"/>
    <w:rsid w:val="00133A29"/>
    <w:rsid w:val="00135348"/>
    <w:rsid w:val="0013554B"/>
    <w:rsid w:val="00135931"/>
    <w:rsid w:val="00136E14"/>
    <w:rsid w:val="0013746E"/>
    <w:rsid w:val="001375A9"/>
    <w:rsid w:val="00137BAF"/>
    <w:rsid w:val="0014152A"/>
    <w:rsid w:val="00141692"/>
    <w:rsid w:val="00142C19"/>
    <w:rsid w:val="00142D4B"/>
    <w:rsid w:val="00143A92"/>
    <w:rsid w:val="00144B74"/>
    <w:rsid w:val="00144DB6"/>
    <w:rsid w:val="00144DD0"/>
    <w:rsid w:val="00145448"/>
    <w:rsid w:val="00146BB7"/>
    <w:rsid w:val="0014773A"/>
    <w:rsid w:val="00147A73"/>
    <w:rsid w:val="00147E39"/>
    <w:rsid w:val="00147FDC"/>
    <w:rsid w:val="00150391"/>
    <w:rsid w:val="00150C3F"/>
    <w:rsid w:val="00150FAF"/>
    <w:rsid w:val="0015109E"/>
    <w:rsid w:val="001521E6"/>
    <w:rsid w:val="001527D9"/>
    <w:rsid w:val="001528DE"/>
    <w:rsid w:val="00154A56"/>
    <w:rsid w:val="001552D0"/>
    <w:rsid w:val="00155A7C"/>
    <w:rsid w:val="00155C28"/>
    <w:rsid w:val="00156AFE"/>
    <w:rsid w:val="0015774A"/>
    <w:rsid w:val="00157829"/>
    <w:rsid w:val="00162CAD"/>
    <w:rsid w:val="001656F0"/>
    <w:rsid w:val="00165D24"/>
    <w:rsid w:val="00166921"/>
    <w:rsid w:val="00167830"/>
    <w:rsid w:val="0017067F"/>
    <w:rsid w:val="0017092B"/>
    <w:rsid w:val="001714D5"/>
    <w:rsid w:val="00171524"/>
    <w:rsid w:val="001718C9"/>
    <w:rsid w:val="00171E19"/>
    <w:rsid w:val="00172339"/>
    <w:rsid w:val="00172422"/>
    <w:rsid w:val="00173ADE"/>
    <w:rsid w:val="00175324"/>
    <w:rsid w:val="00175A74"/>
    <w:rsid w:val="00175B0C"/>
    <w:rsid w:val="001762CC"/>
    <w:rsid w:val="00176B8B"/>
    <w:rsid w:val="00176FAB"/>
    <w:rsid w:val="0017710A"/>
    <w:rsid w:val="00177CCA"/>
    <w:rsid w:val="00181A41"/>
    <w:rsid w:val="001824EA"/>
    <w:rsid w:val="00182512"/>
    <w:rsid w:val="001836A2"/>
    <w:rsid w:val="001840E6"/>
    <w:rsid w:val="0018420E"/>
    <w:rsid w:val="00184823"/>
    <w:rsid w:val="001856D2"/>
    <w:rsid w:val="001863CB"/>
    <w:rsid w:val="0018798A"/>
    <w:rsid w:val="001908F4"/>
    <w:rsid w:val="00190A97"/>
    <w:rsid w:val="00190BD5"/>
    <w:rsid w:val="0019116F"/>
    <w:rsid w:val="00196EF0"/>
    <w:rsid w:val="001A09A3"/>
    <w:rsid w:val="001A16D0"/>
    <w:rsid w:val="001A1753"/>
    <w:rsid w:val="001A2E88"/>
    <w:rsid w:val="001A3A85"/>
    <w:rsid w:val="001A3D36"/>
    <w:rsid w:val="001A433E"/>
    <w:rsid w:val="001A652A"/>
    <w:rsid w:val="001A6D41"/>
    <w:rsid w:val="001A706D"/>
    <w:rsid w:val="001A786F"/>
    <w:rsid w:val="001A7A6C"/>
    <w:rsid w:val="001B03CB"/>
    <w:rsid w:val="001B2C07"/>
    <w:rsid w:val="001B4809"/>
    <w:rsid w:val="001B514E"/>
    <w:rsid w:val="001B6056"/>
    <w:rsid w:val="001B61AF"/>
    <w:rsid w:val="001B64F0"/>
    <w:rsid w:val="001B6AFE"/>
    <w:rsid w:val="001B791B"/>
    <w:rsid w:val="001B7B40"/>
    <w:rsid w:val="001C1731"/>
    <w:rsid w:val="001C1D2F"/>
    <w:rsid w:val="001C217D"/>
    <w:rsid w:val="001C381E"/>
    <w:rsid w:val="001C46F6"/>
    <w:rsid w:val="001C4BED"/>
    <w:rsid w:val="001C5C3D"/>
    <w:rsid w:val="001C603C"/>
    <w:rsid w:val="001C6C3C"/>
    <w:rsid w:val="001C7985"/>
    <w:rsid w:val="001D36E1"/>
    <w:rsid w:val="001D578C"/>
    <w:rsid w:val="001D686C"/>
    <w:rsid w:val="001E02EF"/>
    <w:rsid w:val="001E11A2"/>
    <w:rsid w:val="001E31BF"/>
    <w:rsid w:val="001E3432"/>
    <w:rsid w:val="001E4F67"/>
    <w:rsid w:val="001E5511"/>
    <w:rsid w:val="001E5D8C"/>
    <w:rsid w:val="001E6AC8"/>
    <w:rsid w:val="001E756C"/>
    <w:rsid w:val="001F078C"/>
    <w:rsid w:val="001F0A7D"/>
    <w:rsid w:val="001F1644"/>
    <w:rsid w:val="001F16BC"/>
    <w:rsid w:val="001F2096"/>
    <w:rsid w:val="001F2DEE"/>
    <w:rsid w:val="001F59AC"/>
    <w:rsid w:val="001F5FCD"/>
    <w:rsid w:val="001F6E14"/>
    <w:rsid w:val="001F7B78"/>
    <w:rsid w:val="00200667"/>
    <w:rsid w:val="0020069D"/>
    <w:rsid w:val="00201718"/>
    <w:rsid w:val="00201C93"/>
    <w:rsid w:val="00202157"/>
    <w:rsid w:val="0020312F"/>
    <w:rsid w:val="0020369B"/>
    <w:rsid w:val="0020581E"/>
    <w:rsid w:val="002060C6"/>
    <w:rsid w:val="0020651F"/>
    <w:rsid w:val="002066DF"/>
    <w:rsid w:val="00207A55"/>
    <w:rsid w:val="0021112C"/>
    <w:rsid w:val="002115AA"/>
    <w:rsid w:val="00211869"/>
    <w:rsid w:val="00211D4A"/>
    <w:rsid w:val="00212412"/>
    <w:rsid w:val="0021286E"/>
    <w:rsid w:val="00212F1C"/>
    <w:rsid w:val="0021385C"/>
    <w:rsid w:val="00214648"/>
    <w:rsid w:val="00215DBC"/>
    <w:rsid w:val="00216EDF"/>
    <w:rsid w:val="00217997"/>
    <w:rsid w:val="00220025"/>
    <w:rsid w:val="00220289"/>
    <w:rsid w:val="0022032B"/>
    <w:rsid w:val="00220488"/>
    <w:rsid w:val="002205F1"/>
    <w:rsid w:val="00220690"/>
    <w:rsid w:val="002217AD"/>
    <w:rsid w:val="00222399"/>
    <w:rsid w:val="00222FE6"/>
    <w:rsid w:val="00224128"/>
    <w:rsid w:val="0022499D"/>
    <w:rsid w:val="00225C05"/>
    <w:rsid w:val="00230FFE"/>
    <w:rsid w:val="002317B4"/>
    <w:rsid w:val="002327E6"/>
    <w:rsid w:val="002373B3"/>
    <w:rsid w:val="002373BC"/>
    <w:rsid w:val="00237FC6"/>
    <w:rsid w:val="0024176E"/>
    <w:rsid w:val="0024196C"/>
    <w:rsid w:val="00241E8C"/>
    <w:rsid w:val="00242127"/>
    <w:rsid w:val="00243AAC"/>
    <w:rsid w:val="00243E14"/>
    <w:rsid w:val="00244DCD"/>
    <w:rsid w:val="0024530F"/>
    <w:rsid w:val="002458E9"/>
    <w:rsid w:val="00245C13"/>
    <w:rsid w:val="0024674D"/>
    <w:rsid w:val="00247DF5"/>
    <w:rsid w:val="002502E4"/>
    <w:rsid w:val="002524BE"/>
    <w:rsid w:val="0025255C"/>
    <w:rsid w:val="002529D6"/>
    <w:rsid w:val="00252DA0"/>
    <w:rsid w:val="002539F6"/>
    <w:rsid w:val="00253C7F"/>
    <w:rsid w:val="002541DF"/>
    <w:rsid w:val="00255287"/>
    <w:rsid w:val="00260EA3"/>
    <w:rsid w:val="00260F64"/>
    <w:rsid w:val="00261108"/>
    <w:rsid w:val="00261200"/>
    <w:rsid w:val="00261920"/>
    <w:rsid w:val="00261B40"/>
    <w:rsid w:val="002621D1"/>
    <w:rsid w:val="00262417"/>
    <w:rsid w:val="002625A9"/>
    <w:rsid w:val="00262749"/>
    <w:rsid w:val="00262925"/>
    <w:rsid w:val="0026323C"/>
    <w:rsid w:val="00263BC1"/>
    <w:rsid w:val="00264305"/>
    <w:rsid w:val="002647FC"/>
    <w:rsid w:val="00264D25"/>
    <w:rsid w:val="002655B5"/>
    <w:rsid w:val="0026689F"/>
    <w:rsid w:val="00267CE8"/>
    <w:rsid w:val="002714DD"/>
    <w:rsid w:val="00271762"/>
    <w:rsid w:val="002720C2"/>
    <w:rsid w:val="00272132"/>
    <w:rsid w:val="00272A04"/>
    <w:rsid w:val="0027381B"/>
    <w:rsid w:val="00273E71"/>
    <w:rsid w:val="00274033"/>
    <w:rsid w:val="00274D56"/>
    <w:rsid w:val="00274F77"/>
    <w:rsid w:val="00275613"/>
    <w:rsid w:val="00275E62"/>
    <w:rsid w:val="002762B9"/>
    <w:rsid w:val="00276582"/>
    <w:rsid w:val="00277267"/>
    <w:rsid w:val="00277EE8"/>
    <w:rsid w:val="00280482"/>
    <w:rsid w:val="002816EB"/>
    <w:rsid w:val="002822F6"/>
    <w:rsid w:val="00282380"/>
    <w:rsid w:val="002835A1"/>
    <w:rsid w:val="0028380B"/>
    <w:rsid w:val="00283959"/>
    <w:rsid w:val="00284282"/>
    <w:rsid w:val="00284C8F"/>
    <w:rsid w:val="002873D2"/>
    <w:rsid w:val="002900AD"/>
    <w:rsid w:val="00290806"/>
    <w:rsid w:val="00293305"/>
    <w:rsid w:val="002933DC"/>
    <w:rsid w:val="00294CD3"/>
    <w:rsid w:val="00297768"/>
    <w:rsid w:val="002A1069"/>
    <w:rsid w:val="002A1703"/>
    <w:rsid w:val="002A1B88"/>
    <w:rsid w:val="002A1E3A"/>
    <w:rsid w:val="002A22C7"/>
    <w:rsid w:val="002A24D5"/>
    <w:rsid w:val="002A361F"/>
    <w:rsid w:val="002A455D"/>
    <w:rsid w:val="002A4B11"/>
    <w:rsid w:val="002A51C5"/>
    <w:rsid w:val="002A6DEA"/>
    <w:rsid w:val="002A706C"/>
    <w:rsid w:val="002A70EA"/>
    <w:rsid w:val="002B0576"/>
    <w:rsid w:val="002B0A87"/>
    <w:rsid w:val="002B0B72"/>
    <w:rsid w:val="002B0DC2"/>
    <w:rsid w:val="002B1266"/>
    <w:rsid w:val="002B1D63"/>
    <w:rsid w:val="002B230B"/>
    <w:rsid w:val="002B2434"/>
    <w:rsid w:val="002B29B8"/>
    <w:rsid w:val="002B2C1C"/>
    <w:rsid w:val="002B2D1F"/>
    <w:rsid w:val="002B3147"/>
    <w:rsid w:val="002B3D68"/>
    <w:rsid w:val="002B61F5"/>
    <w:rsid w:val="002B6287"/>
    <w:rsid w:val="002B66EB"/>
    <w:rsid w:val="002B6875"/>
    <w:rsid w:val="002B7772"/>
    <w:rsid w:val="002B7E3D"/>
    <w:rsid w:val="002C0A47"/>
    <w:rsid w:val="002C0F3B"/>
    <w:rsid w:val="002C35E7"/>
    <w:rsid w:val="002C4C17"/>
    <w:rsid w:val="002C5522"/>
    <w:rsid w:val="002C6E99"/>
    <w:rsid w:val="002C7715"/>
    <w:rsid w:val="002D01C7"/>
    <w:rsid w:val="002D14C0"/>
    <w:rsid w:val="002D28D4"/>
    <w:rsid w:val="002D2D06"/>
    <w:rsid w:val="002D46D6"/>
    <w:rsid w:val="002D48DB"/>
    <w:rsid w:val="002D4D5D"/>
    <w:rsid w:val="002D6505"/>
    <w:rsid w:val="002D6683"/>
    <w:rsid w:val="002D7B4A"/>
    <w:rsid w:val="002E0253"/>
    <w:rsid w:val="002E2280"/>
    <w:rsid w:val="002E2340"/>
    <w:rsid w:val="002E263C"/>
    <w:rsid w:val="002E2A95"/>
    <w:rsid w:val="002E3118"/>
    <w:rsid w:val="002E504E"/>
    <w:rsid w:val="002E5AFC"/>
    <w:rsid w:val="002E70B9"/>
    <w:rsid w:val="002E7A28"/>
    <w:rsid w:val="002F0849"/>
    <w:rsid w:val="002F1C3F"/>
    <w:rsid w:val="002F2032"/>
    <w:rsid w:val="002F2397"/>
    <w:rsid w:val="002F260D"/>
    <w:rsid w:val="002F2898"/>
    <w:rsid w:val="002F3107"/>
    <w:rsid w:val="002F4C3A"/>
    <w:rsid w:val="002F4E47"/>
    <w:rsid w:val="002F4FD3"/>
    <w:rsid w:val="002F5646"/>
    <w:rsid w:val="002F63A2"/>
    <w:rsid w:val="002F6834"/>
    <w:rsid w:val="002F6E85"/>
    <w:rsid w:val="00300D03"/>
    <w:rsid w:val="003015C2"/>
    <w:rsid w:val="00301B4C"/>
    <w:rsid w:val="0030272F"/>
    <w:rsid w:val="00303331"/>
    <w:rsid w:val="003039F6"/>
    <w:rsid w:val="003045ED"/>
    <w:rsid w:val="00305BAC"/>
    <w:rsid w:val="00306233"/>
    <w:rsid w:val="003118FA"/>
    <w:rsid w:val="00311964"/>
    <w:rsid w:val="00312B6D"/>
    <w:rsid w:val="003136B4"/>
    <w:rsid w:val="00314FBE"/>
    <w:rsid w:val="00315144"/>
    <w:rsid w:val="00315A02"/>
    <w:rsid w:val="00316136"/>
    <w:rsid w:val="003173C4"/>
    <w:rsid w:val="0032074F"/>
    <w:rsid w:val="00320C3C"/>
    <w:rsid w:val="003212DD"/>
    <w:rsid w:val="00321A10"/>
    <w:rsid w:val="00321C54"/>
    <w:rsid w:val="003220B8"/>
    <w:rsid w:val="0032241C"/>
    <w:rsid w:val="00322C10"/>
    <w:rsid w:val="00323843"/>
    <w:rsid w:val="00324758"/>
    <w:rsid w:val="00326FE7"/>
    <w:rsid w:val="00330006"/>
    <w:rsid w:val="00330AB1"/>
    <w:rsid w:val="00331F3C"/>
    <w:rsid w:val="00332563"/>
    <w:rsid w:val="003327C7"/>
    <w:rsid w:val="00332E98"/>
    <w:rsid w:val="003330E4"/>
    <w:rsid w:val="0033327E"/>
    <w:rsid w:val="00333460"/>
    <w:rsid w:val="003339B5"/>
    <w:rsid w:val="00333DD6"/>
    <w:rsid w:val="003341F0"/>
    <w:rsid w:val="003348FA"/>
    <w:rsid w:val="0033571F"/>
    <w:rsid w:val="00335AD9"/>
    <w:rsid w:val="00336A4C"/>
    <w:rsid w:val="0033734E"/>
    <w:rsid w:val="00337C5E"/>
    <w:rsid w:val="003405CE"/>
    <w:rsid w:val="00340C60"/>
    <w:rsid w:val="003414A8"/>
    <w:rsid w:val="003414AE"/>
    <w:rsid w:val="00341FBC"/>
    <w:rsid w:val="0034219F"/>
    <w:rsid w:val="00342BA5"/>
    <w:rsid w:val="003438DE"/>
    <w:rsid w:val="00343907"/>
    <w:rsid w:val="003446C3"/>
    <w:rsid w:val="00345E4B"/>
    <w:rsid w:val="0034644D"/>
    <w:rsid w:val="003474CF"/>
    <w:rsid w:val="00347AD0"/>
    <w:rsid w:val="00347F77"/>
    <w:rsid w:val="0035011F"/>
    <w:rsid w:val="003501CC"/>
    <w:rsid w:val="003508AD"/>
    <w:rsid w:val="00351471"/>
    <w:rsid w:val="0035163D"/>
    <w:rsid w:val="0035212F"/>
    <w:rsid w:val="003532B8"/>
    <w:rsid w:val="003544C3"/>
    <w:rsid w:val="00354635"/>
    <w:rsid w:val="0035534A"/>
    <w:rsid w:val="00355D5A"/>
    <w:rsid w:val="0035672D"/>
    <w:rsid w:val="003569B2"/>
    <w:rsid w:val="0036370B"/>
    <w:rsid w:val="00363950"/>
    <w:rsid w:val="00364213"/>
    <w:rsid w:val="0036595E"/>
    <w:rsid w:val="00365A8D"/>
    <w:rsid w:val="00365C99"/>
    <w:rsid w:val="00365EDA"/>
    <w:rsid w:val="003667A6"/>
    <w:rsid w:val="003676B8"/>
    <w:rsid w:val="00367D0B"/>
    <w:rsid w:val="00370B96"/>
    <w:rsid w:val="00370CFE"/>
    <w:rsid w:val="00370F1D"/>
    <w:rsid w:val="0037443D"/>
    <w:rsid w:val="00375835"/>
    <w:rsid w:val="00377CCA"/>
    <w:rsid w:val="0038056F"/>
    <w:rsid w:val="003806A1"/>
    <w:rsid w:val="00381B7E"/>
    <w:rsid w:val="00381CC0"/>
    <w:rsid w:val="003829F8"/>
    <w:rsid w:val="00382C9A"/>
    <w:rsid w:val="00385AA6"/>
    <w:rsid w:val="003865C6"/>
    <w:rsid w:val="0038700A"/>
    <w:rsid w:val="00387B11"/>
    <w:rsid w:val="00391B45"/>
    <w:rsid w:val="00392EB6"/>
    <w:rsid w:val="00393F11"/>
    <w:rsid w:val="00394219"/>
    <w:rsid w:val="00395DC3"/>
    <w:rsid w:val="00396388"/>
    <w:rsid w:val="00396434"/>
    <w:rsid w:val="00396674"/>
    <w:rsid w:val="00396AD7"/>
    <w:rsid w:val="00396D8A"/>
    <w:rsid w:val="00397D6C"/>
    <w:rsid w:val="003A026B"/>
    <w:rsid w:val="003A1287"/>
    <w:rsid w:val="003A1374"/>
    <w:rsid w:val="003A1BEF"/>
    <w:rsid w:val="003A1CEB"/>
    <w:rsid w:val="003A288A"/>
    <w:rsid w:val="003A34C3"/>
    <w:rsid w:val="003A3F40"/>
    <w:rsid w:val="003A44F5"/>
    <w:rsid w:val="003A4B27"/>
    <w:rsid w:val="003A5903"/>
    <w:rsid w:val="003A62EA"/>
    <w:rsid w:val="003A6787"/>
    <w:rsid w:val="003A6E8B"/>
    <w:rsid w:val="003A71E1"/>
    <w:rsid w:val="003B3013"/>
    <w:rsid w:val="003B37AF"/>
    <w:rsid w:val="003B442D"/>
    <w:rsid w:val="003B6E83"/>
    <w:rsid w:val="003B7693"/>
    <w:rsid w:val="003B7873"/>
    <w:rsid w:val="003B7BAD"/>
    <w:rsid w:val="003C0540"/>
    <w:rsid w:val="003C0584"/>
    <w:rsid w:val="003C09A0"/>
    <w:rsid w:val="003C1951"/>
    <w:rsid w:val="003C1DEB"/>
    <w:rsid w:val="003C2B26"/>
    <w:rsid w:val="003C2BA3"/>
    <w:rsid w:val="003C3534"/>
    <w:rsid w:val="003C3ECC"/>
    <w:rsid w:val="003C4864"/>
    <w:rsid w:val="003C49E1"/>
    <w:rsid w:val="003C55FA"/>
    <w:rsid w:val="003C561C"/>
    <w:rsid w:val="003C5731"/>
    <w:rsid w:val="003C7148"/>
    <w:rsid w:val="003C7548"/>
    <w:rsid w:val="003C7ACE"/>
    <w:rsid w:val="003D0AD3"/>
    <w:rsid w:val="003D13B4"/>
    <w:rsid w:val="003D1B44"/>
    <w:rsid w:val="003D31A0"/>
    <w:rsid w:val="003D4C2E"/>
    <w:rsid w:val="003D663E"/>
    <w:rsid w:val="003D66C0"/>
    <w:rsid w:val="003D76EF"/>
    <w:rsid w:val="003E00EE"/>
    <w:rsid w:val="003E05D2"/>
    <w:rsid w:val="003E06FE"/>
    <w:rsid w:val="003E07C4"/>
    <w:rsid w:val="003E0DEF"/>
    <w:rsid w:val="003E1532"/>
    <w:rsid w:val="003E15AF"/>
    <w:rsid w:val="003E1A46"/>
    <w:rsid w:val="003E28DE"/>
    <w:rsid w:val="003E2E21"/>
    <w:rsid w:val="003E4009"/>
    <w:rsid w:val="003E4BF1"/>
    <w:rsid w:val="003E552A"/>
    <w:rsid w:val="003E6927"/>
    <w:rsid w:val="003E7790"/>
    <w:rsid w:val="003F1722"/>
    <w:rsid w:val="003F21FA"/>
    <w:rsid w:val="003F2B1F"/>
    <w:rsid w:val="003F30C0"/>
    <w:rsid w:val="003F3DA8"/>
    <w:rsid w:val="003F4F72"/>
    <w:rsid w:val="003F61AA"/>
    <w:rsid w:val="0040083C"/>
    <w:rsid w:val="004011AF"/>
    <w:rsid w:val="00401BB5"/>
    <w:rsid w:val="004021A9"/>
    <w:rsid w:val="00403156"/>
    <w:rsid w:val="0040377F"/>
    <w:rsid w:val="00403C11"/>
    <w:rsid w:val="00404525"/>
    <w:rsid w:val="00404E90"/>
    <w:rsid w:val="00406D19"/>
    <w:rsid w:val="004071A8"/>
    <w:rsid w:val="0040786F"/>
    <w:rsid w:val="00410094"/>
    <w:rsid w:val="00412478"/>
    <w:rsid w:val="00412A30"/>
    <w:rsid w:val="00412C76"/>
    <w:rsid w:val="00413E37"/>
    <w:rsid w:val="00413F20"/>
    <w:rsid w:val="0041673F"/>
    <w:rsid w:val="0041780F"/>
    <w:rsid w:val="00417DA3"/>
    <w:rsid w:val="00420B3E"/>
    <w:rsid w:val="004213EA"/>
    <w:rsid w:val="0042182B"/>
    <w:rsid w:val="004222DE"/>
    <w:rsid w:val="004226DD"/>
    <w:rsid w:val="0042493C"/>
    <w:rsid w:val="0042495C"/>
    <w:rsid w:val="00424A10"/>
    <w:rsid w:val="00427882"/>
    <w:rsid w:val="00427E9A"/>
    <w:rsid w:val="004302E2"/>
    <w:rsid w:val="0043089D"/>
    <w:rsid w:val="00432359"/>
    <w:rsid w:val="00433DF6"/>
    <w:rsid w:val="00433F24"/>
    <w:rsid w:val="00436A0E"/>
    <w:rsid w:val="0043720D"/>
    <w:rsid w:val="00437978"/>
    <w:rsid w:val="00437FAA"/>
    <w:rsid w:val="00440956"/>
    <w:rsid w:val="00440AE3"/>
    <w:rsid w:val="00440F15"/>
    <w:rsid w:val="004410A0"/>
    <w:rsid w:val="0044111A"/>
    <w:rsid w:val="004436CC"/>
    <w:rsid w:val="00444421"/>
    <w:rsid w:val="0044637C"/>
    <w:rsid w:val="00446E16"/>
    <w:rsid w:val="004474FF"/>
    <w:rsid w:val="00450014"/>
    <w:rsid w:val="004506BC"/>
    <w:rsid w:val="00450B52"/>
    <w:rsid w:val="00451297"/>
    <w:rsid w:val="0045269D"/>
    <w:rsid w:val="00453177"/>
    <w:rsid w:val="004531C5"/>
    <w:rsid w:val="00455B35"/>
    <w:rsid w:val="00456170"/>
    <w:rsid w:val="004568F8"/>
    <w:rsid w:val="00456921"/>
    <w:rsid w:val="00456EE3"/>
    <w:rsid w:val="00456F36"/>
    <w:rsid w:val="00457428"/>
    <w:rsid w:val="00461111"/>
    <w:rsid w:val="0046112D"/>
    <w:rsid w:val="00461BE4"/>
    <w:rsid w:val="0046207F"/>
    <w:rsid w:val="0046599D"/>
    <w:rsid w:val="00466105"/>
    <w:rsid w:val="0046624C"/>
    <w:rsid w:val="0046624F"/>
    <w:rsid w:val="004668B8"/>
    <w:rsid w:val="00466B01"/>
    <w:rsid w:val="0047046E"/>
    <w:rsid w:val="00470729"/>
    <w:rsid w:val="00470CF2"/>
    <w:rsid w:val="0047298B"/>
    <w:rsid w:val="00473F54"/>
    <w:rsid w:val="004741D9"/>
    <w:rsid w:val="004761FB"/>
    <w:rsid w:val="00477295"/>
    <w:rsid w:val="00481F16"/>
    <w:rsid w:val="004831D0"/>
    <w:rsid w:val="00483296"/>
    <w:rsid w:val="004837BC"/>
    <w:rsid w:val="0048484C"/>
    <w:rsid w:val="0048510E"/>
    <w:rsid w:val="004855A2"/>
    <w:rsid w:val="0048568B"/>
    <w:rsid w:val="00485968"/>
    <w:rsid w:val="0048609E"/>
    <w:rsid w:val="00486991"/>
    <w:rsid w:val="00486CA6"/>
    <w:rsid w:val="00486FBB"/>
    <w:rsid w:val="0048746C"/>
    <w:rsid w:val="0048770D"/>
    <w:rsid w:val="00487AC7"/>
    <w:rsid w:val="0049105C"/>
    <w:rsid w:val="00493152"/>
    <w:rsid w:val="004938F8"/>
    <w:rsid w:val="004941E2"/>
    <w:rsid w:val="00494B15"/>
    <w:rsid w:val="00495065"/>
    <w:rsid w:val="004959CE"/>
    <w:rsid w:val="00495E82"/>
    <w:rsid w:val="00496959"/>
    <w:rsid w:val="0049725D"/>
    <w:rsid w:val="00497450"/>
    <w:rsid w:val="00497E2B"/>
    <w:rsid w:val="00497FDB"/>
    <w:rsid w:val="004A0999"/>
    <w:rsid w:val="004A20B2"/>
    <w:rsid w:val="004A2AD8"/>
    <w:rsid w:val="004A3286"/>
    <w:rsid w:val="004A36D8"/>
    <w:rsid w:val="004A4AA6"/>
    <w:rsid w:val="004A4CA0"/>
    <w:rsid w:val="004A504F"/>
    <w:rsid w:val="004A589F"/>
    <w:rsid w:val="004A64AD"/>
    <w:rsid w:val="004A7271"/>
    <w:rsid w:val="004A7344"/>
    <w:rsid w:val="004A7F1C"/>
    <w:rsid w:val="004B04DD"/>
    <w:rsid w:val="004B0FE2"/>
    <w:rsid w:val="004B1138"/>
    <w:rsid w:val="004B23ED"/>
    <w:rsid w:val="004B2488"/>
    <w:rsid w:val="004B3681"/>
    <w:rsid w:val="004B47B7"/>
    <w:rsid w:val="004B7104"/>
    <w:rsid w:val="004B734A"/>
    <w:rsid w:val="004C0904"/>
    <w:rsid w:val="004C0D5C"/>
    <w:rsid w:val="004C12C9"/>
    <w:rsid w:val="004C2303"/>
    <w:rsid w:val="004C233F"/>
    <w:rsid w:val="004C2491"/>
    <w:rsid w:val="004C3548"/>
    <w:rsid w:val="004C4D4F"/>
    <w:rsid w:val="004C54A6"/>
    <w:rsid w:val="004C5B02"/>
    <w:rsid w:val="004C6043"/>
    <w:rsid w:val="004C63AF"/>
    <w:rsid w:val="004C68AF"/>
    <w:rsid w:val="004C6A0F"/>
    <w:rsid w:val="004C6BE9"/>
    <w:rsid w:val="004C7304"/>
    <w:rsid w:val="004C7B66"/>
    <w:rsid w:val="004D0131"/>
    <w:rsid w:val="004D1143"/>
    <w:rsid w:val="004D12C6"/>
    <w:rsid w:val="004D160E"/>
    <w:rsid w:val="004D1E7C"/>
    <w:rsid w:val="004D2A9B"/>
    <w:rsid w:val="004D2AC2"/>
    <w:rsid w:val="004D31AA"/>
    <w:rsid w:val="004D32E6"/>
    <w:rsid w:val="004D4190"/>
    <w:rsid w:val="004D4CBF"/>
    <w:rsid w:val="004D52BE"/>
    <w:rsid w:val="004D5E72"/>
    <w:rsid w:val="004D736D"/>
    <w:rsid w:val="004D7BAA"/>
    <w:rsid w:val="004E05D1"/>
    <w:rsid w:val="004E07F9"/>
    <w:rsid w:val="004E15F4"/>
    <w:rsid w:val="004E1D9C"/>
    <w:rsid w:val="004E2054"/>
    <w:rsid w:val="004E207C"/>
    <w:rsid w:val="004E3513"/>
    <w:rsid w:val="004E421A"/>
    <w:rsid w:val="004E5954"/>
    <w:rsid w:val="004E5A62"/>
    <w:rsid w:val="004E5BC6"/>
    <w:rsid w:val="004E6EEB"/>
    <w:rsid w:val="004E6FAC"/>
    <w:rsid w:val="004E705A"/>
    <w:rsid w:val="004F008B"/>
    <w:rsid w:val="004F12B2"/>
    <w:rsid w:val="004F12E5"/>
    <w:rsid w:val="004F15DE"/>
    <w:rsid w:val="004F1B7A"/>
    <w:rsid w:val="004F1DE2"/>
    <w:rsid w:val="004F307C"/>
    <w:rsid w:val="004F3316"/>
    <w:rsid w:val="004F5984"/>
    <w:rsid w:val="004F7748"/>
    <w:rsid w:val="005028A8"/>
    <w:rsid w:val="00502907"/>
    <w:rsid w:val="00502BD6"/>
    <w:rsid w:val="0050373E"/>
    <w:rsid w:val="005047C6"/>
    <w:rsid w:val="00504E4F"/>
    <w:rsid w:val="00505045"/>
    <w:rsid w:val="005058B5"/>
    <w:rsid w:val="00505B04"/>
    <w:rsid w:val="0050642A"/>
    <w:rsid w:val="0050666E"/>
    <w:rsid w:val="0050681E"/>
    <w:rsid w:val="00506E25"/>
    <w:rsid w:val="0051051B"/>
    <w:rsid w:val="00511343"/>
    <w:rsid w:val="00511BD1"/>
    <w:rsid w:val="00511D9D"/>
    <w:rsid w:val="00513917"/>
    <w:rsid w:val="00513D4E"/>
    <w:rsid w:val="005144B0"/>
    <w:rsid w:val="00516AA9"/>
    <w:rsid w:val="0051740F"/>
    <w:rsid w:val="0051799A"/>
    <w:rsid w:val="00517D28"/>
    <w:rsid w:val="0052006B"/>
    <w:rsid w:val="0052098F"/>
    <w:rsid w:val="00520BD7"/>
    <w:rsid w:val="00521DCF"/>
    <w:rsid w:val="0052241D"/>
    <w:rsid w:val="00522CCF"/>
    <w:rsid w:val="005239E8"/>
    <w:rsid w:val="00524717"/>
    <w:rsid w:val="00524A44"/>
    <w:rsid w:val="00527FA8"/>
    <w:rsid w:val="005313C2"/>
    <w:rsid w:val="005322CB"/>
    <w:rsid w:val="005330E4"/>
    <w:rsid w:val="00533467"/>
    <w:rsid w:val="00533521"/>
    <w:rsid w:val="00534C9C"/>
    <w:rsid w:val="00534F44"/>
    <w:rsid w:val="005351DE"/>
    <w:rsid w:val="005354F9"/>
    <w:rsid w:val="00535662"/>
    <w:rsid w:val="00535D26"/>
    <w:rsid w:val="00535F73"/>
    <w:rsid w:val="005363FC"/>
    <w:rsid w:val="00536448"/>
    <w:rsid w:val="005365D3"/>
    <w:rsid w:val="005368CE"/>
    <w:rsid w:val="00537936"/>
    <w:rsid w:val="00537CE7"/>
    <w:rsid w:val="00541642"/>
    <w:rsid w:val="00541C60"/>
    <w:rsid w:val="005420AC"/>
    <w:rsid w:val="005434C8"/>
    <w:rsid w:val="00544E9C"/>
    <w:rsid w:val="00545DBE"/>
    <w:rsid w:val="005463D2"/>
    <w:rsid w:val="0055032A"/>
    <w:rsid w:val="00550A31"/>
    <w:rsid w:val="00552FEA"/>
    <w:rsid w:val="0055340A"/>
    <w:rsid w:val="005552D1"/>
    <w:rsid w:val="0055577A"/>
    <w:rsid w:val="00555AE6"/>
    <w:rsid w:val="00556A91"/>
    <w:rsid w:val="00560028"/>
    <w:rsid w:val="00560476"/>
    <w:rsid w:val="00560ADB"/>
    <w:rsid w:val="00560D66"/>
    <w:rsid w:val="005613C7"/>
    <w:rsid w:val="00561E69"/>
    <w:rsid w:val="0056204C"/>
    <w:rsid w:val="00562A79"/>
    <w:rsid w:val="00563280"/>
    <w:rsid w:val="00564CB4"/>
    <w:rsid w:val="00564D85"/>
    <w:rsid w:val="005672A7"/>
    <w:rsid w:val="005700BF"/>
    <w:rsid w:val="005747FA"/>
    <w:rsid w:val="005809B2"/>
    <w:rsid w:val="00580A23"/>
    <w:rsid w:val="005815D5"/>
    <w:rsid w:val="00582072"/>
    <w:rsid w:val="0058209A"/>
    <w:rsid w:val="00582114"/>
    <w:rsid w:val="00583411"/>
    <w:rsid w:val="00583492"/>
    <w:rsid w:val="00583B5D"/>
    <w:rsid w:val="00583F2F"/>
    <w:rsid w:val="00584FF2"/>
    <w:rsid w:val="00585547"/>
    <w:rsid w:val="0058570D"/>
    <w:rsid w:val="00587448"/>
    <w:rsid w:val="0059017B"/>
    <w:rsid w:val="00590E1A"/>
    <w:rsid w:val="005935E8"/>
    <w:rsid w:val="005945AE"/>
    <w:rsid w:val="00594904"/>
    <w:rsid w:val="00594C55"/>
    <w:rsid w:val="0059500B"/>
    <w:rsid w:val="0059569E"/>
    <w:rsid w:val="0059615C"/>
    <w:rsid w:val="00596277"/>
    <w:rsid w:val="0059674C"/>
    <w:rsid w:val="00596FDB"/>
    <w:rsid w:val="00597F1A"/>
    <w:rsid w:val="005A0ADB"/>
    <w:rsid w:val="005A0B27"/>
    <w:rsid w:val="005A0BD9"/>
    <w:rsid w:val="005A0F2A"/>
    <w:rsid w:val="005A1DBC"/>
    <w:rsid w:val="005A2B5E"/>
    <w:rsid w:val="005A43CA"/>
    <w:rsid w:val="005A4D60"/>
    <w:rsid w:val="005A7BE5"/>
    <w:rsid w:val="005B2553"/>
    <w:rsid w:val="005B5839"/>
    <w:rsid w:val="005B644F"/>
    <w:rsid w:val="005B6B2D"/>
    <w:rsid w:val="005B6F7F"/>
    <w:rsid w:val="005B7142"/>
    <w:rsid w:val="005C0164"/>
    <w:rsid w:val="005C0666"/>
    <w:rsid w:val="005C1140"/>
    <w:rsid w:val="005C1193"/>
    <w:rsid w:val="005C131C"/>
    <w:rsid w:val="005C26B2"/>
    <w:rsid w:val="005C367B"/>
    <w:rsid w:val="005C7FEF"/>
    <w:rsid w:val="005D03B1"/>
    <w:rsid w:val="005D1B96"/>
    <w:rsid w:val="005D1E40"/>
    <w:rsid w:val="005D4514"/>
    <w:rsid w:val="005D4E24"/>
    <w:rsid w:val="005D51C0"/>
    <w:rsid w:val="005D53E9"/>
    <w:rsid w:val="005D6359"/>
    <w:rsid w:val="005D66BA"/>
    <w:rsid w:val="005D6746"/>
    <w:rsid w:val="005D6CED"/>
    <w:rsid w:val="005D6F9E"/>
    <w:rsid w:val="005E1CCB"/>
    <w:rsid w:val="005E201B"/>
    <w:rsid w:val="005E20BE"/>
    <w:rsid w:val="005E39AB"/>
    <w:rsid w:val="005E4B2A"/>
    <w:rsid w:val="005E4DD0"/>
    <w:rsid w:val="005E6CAC"/>
    <w:rsid w:val="005E6CEE"/>
    <w:rsid w:val="005E6D59"/>
    <w:rsid w:val="005E7236"/>
    <w:rsid w:val="005E76FA"/>
    <w:rsid w:val="005E770A"/>
    <w:rsid w:val="005F0555"/>
    <w:rsid w:val="005F1186"/>
    <w:rsid w:val="005F1EA3"/>
    <w:rsid w:val="005F306B"/>
    <w:rsid w:val="005F591C"/>
    <w:rsid w:val="005F6DCF"/>
    <w:rsid w:val="005F710C"/>
    <w:rsid w:val="005F7379"/>
    <w:rsid w:val="005F752D"/>
    <w:rsid w:val="005F7965"/>
    <w:rsid w:val="006001D4"/>
    <w:rsid w:val="0060055F"/>
    <w:rsid w:val="00600988"/>
    <w:rsid w:val="00600AFD"/>
    <w:rsid w:val="00600DB1"/>
    <w:rsid w:val="006010D2"/>
    <w:rsid w:val="00602505"/>
    <w:rsid w:val="00602E31"/>
    <w:rsid w:val="006032D0"/>
    <w:rsid w:val="006035C3"/>
    <w:rsid w:val="00603D4A"/>
    <w:rsid w:val="00603F66"/>
    <w:rsid w:val="00604010"/>
    <w:rsid w:val="006044FF"/>
    <w:rsid w:val="00604601"/>
    <w:rsid w:val="00604BA2"/>
    <w:rsid w:val="00604FEC"/>
    <w:rsid w:val="006054A0"/>
    <w:rsid w:val="006059E4"/>
    <w:rsid w:val="006105FC"/>
    <w:rsid w:val="00611612"/>
    <w:rsid w:val="00611F86"/>
    <w:rsid w:val="00611FBE"/>
    <w:rsid w:val="00613F99"/>
    <w:rsid w:val="00614854"/>
    <w:rsid w:val="00614BF4"/>
    <w:rsid w:val="00615E37"/>
    <w:rsid w:val="00616FDF"/>
    <w:rsid w:val="00617FD3"/>
    <w:rsid w:val="00621118"/>
    <w:rsid w:val="00621FA7"/>
    <w:rsid w:val="006225E8"/>
    <w:rsid w:val="00622DB9"/>
    <w:rsid w:val="00622F29"/>
    <w:rsid w:val="0062385C"/>
    <w:rsid w:val="0062516B"/>
    <w:rsid w:val="00625AE3"/>
    <w:rsid w:val="00630CB3"/>
    <w:rsid w:val="006311F3"/>
    <w:rsid w:val="00632C27"/>
    <w:rsid w:val="006351FE"/>
    <w:rsid w:val="00636F5D"/>
    <w:rsid w:val="0063744E"/>
    <w:rsid w:val="00637789"/>
    <w:rsid w:val="00637D72"/>
    <w:rsid w:val="00640058"/>
    <w:rsid w:val="006403F9"/>
    <w:rsid w:val="00640845"/>
    <w:rsid w:val="00640E5E"/>
    <w:rsid w:val="00640FAB"/>
    <w:rsid w:val="00642E69"/>
    <w:rsid w:val="00644CAC"/>
    <w:rsid w:val="00646377"/>
    <w:rsid w:val="00646837"/>
    <w:rsid w:val="00646DCB"/>
    <w:rsid w:val="00646F98"/>
    <w:rsid w:val="006472A5"/>
    <w:rsid w:val="00647EA3"/>
    <w:rsid w:val="00650827"/>
    <w:rsid w:val="00650F98"/>
    <w:rsid w:val="0065283F"/>
    <w:rsid w:val="006533BB"/>
    <w:rsid w:val="00653C20"/>
    <w:rsid w:val="00654C38"/>
    <w:rsid w:val="00654FB9"/>
    <w:rsid w:val="00656C20"/>
    <w:rsid w:val="006603F6"/>
    <w:rsid w:val="00660DF6"/>
    <w:rsid w:val="006623A0"/>
    <w:rsid w:val="0066349B"/>
    <w:rsid w:val="0066355F"/>
    <w:rsid w:val="00664CE5"/>
    <w:rsid w:val="006664A7"/>
    <w:rsid w:val="00666712"/>
    <w:rsid w:val="00666E31"/>
    <w:rsid w:val="00667657"/>
    <w:rsid w:val="00670654"/>
    <w:rsid w:val="00670D35"/>
    <w:rsid w:val="00672BB6"/>
    <w:rsid w:val="0067590B"/>
    <w:rsid w:val="00676A0C"/>
    <w:rsid w:val="00676BFD"/>
    <w:rsid w:val="0067765D"/>
    <w:rsid w:val="00680A48"/>
    <w:rsid w:val="006814EB"/>
    <w:rsid w:val="00681609"/>
    <w:rsid w:val="00681FA0"/>
    <w:rsid w:val="006824A4"/>
    <w:rsid w:val="006832C0"/>
    <w:rsid w:val="00683899"/>
    <w:rsid w:val="0068425F"/>
    <w:rsid w:val="00684C5A"/>
    <w:rsid w:val="00685826"/>
    <w:rsid w:val="00685CFF"/>
    <w:rsid w:val="006864BC"/>
    <w:rsid w:val="0068657F"/>
    <w:rsid w:val="00687214"/>
    <w:rsid w:val="00687F16"/>
    <w:rsid w:val="00691078"/>
    <w:rsid w:val="006918A9"/>
    <w:rsid w:val="00692271"/>
    <w:rsid w:val="00692F5B"/>
    <w:rsid w:val="006931FD"/>
    <w:rsid w:val="006938CD"/>
    <w:rsid w:val="00693D0A"/>
    <w:rsid w:val="00694B43"/>
    <w:rsid w:val="00694F6E"/>
    <w:rsid w:val="00695630"/>
    <w:rsid w:val="00695D8C"/>
    <w:rsid w:val="00695F34"/>
    <w:rsid w:val="00696600"/>
    <w:rsid w:val="00696920"/>
    <w:rsid w:val="00696EB2"/>
    <w:rsid w:val="00696F79"/>
    <w:rsid w:val="0069731F"/>
    <w:rsid w:val="006979D5"/>
    <w:rsid w:val="00697B80"/>
    <w:rsid w:val="006A0C06"/>
    <w:rsid w:val="006A160D"/>
    <w:rsid w:val="006A17B3"/>
    <w:rsid w:val="006A2081"/>
    <w:rsid w:val="006A34F7"/>
    <w:rsid w:val="006A3A79"/>
    <w:rsid w:val="006A3F4D"/>
    <w:rsid w:val="006A40CA"/>
    <w:rsid w:val="006A42E1"/>
    <w:rsid w:val="006A5AFE"/>
    <w:rsid w:val="006A770B"/>
    <w:rsid w:val="006A7C48"/>
    <w:rsid w:val="006B2A62"/>
    <w:rsid w:val="006B3327"/>
    <w:rsid w:val="006B6036"/>
    <w:rsid w:val="006B7215"/>
    <w:rsid w:val="006B7930"/>
    <w:rsid w:val="006B7993"/>
    <w:rsid w:val="006C07AF"/>
    <w:rsid w:val="006C0BA1"/>
    <w:rsid w:val="006C0DBA"/>
    <w:rsid w:val="006C175B"/>
    <w:rsid w:val="006C1D6B"/>
    <w:rsid w:val="006C1FA9"/>
    <w:rsid w:val="006C24D5"/>
    <w:rsid w:val="006C4588"/>
    <w:rsid w:val="006C4AB9"/>
    <w:rsid w:val="006C51DD"/>
    <w:rsid w:val="006C53B1"/>
    <w:rsid w:val="006C550C"/>
    <w:rsid w:val="006C5B5C"/>
    <w:rsid w:val="006C6356"/>
    <w:rsid w:val="006C6545"/>
    <w:rsid w:val="006C73CD"/>
    <w:rsid w:val="006C7769"/>
    <w:rsid w:val="006C7E10"/>
    <w:rsid w:val="006C7E86"/>
    <w:rsid w:val="006D3097"/>
    <w:rsid w:val="006D3C19"/>
    <w:rsid w:val="006D3EB2"/>
    <w:rsid w:val="006D43BD"/>
    <w:rsid w:val="006D450F"/>
    <w:rsid w:val="006D4935"/>
    <w:rsid w:val="006D5046"/>
    <w:rsid w:val="006D524A"/>
    <w:rsid w:val="006D5555"/>
    <w:rsid w:val="006D6F9A"/>
    <w:rsid w:val="006D758B"/>
    <w:rsid w:val="006D75F6"/>
    <w:rsid w:val="006E050E"/>
    <w:rsid w:val="006E2337"/>
    <w:rsid w:val="006E238E"/>
    <w:rsid w:val="006E25BB"/>
    <w:rsid w:val="006E3B50"/>
    <w:rsid w:val="006E425B"/>
    <w:rsid w:val="006E474D"/>
    <w:rsid w:val="006F038C"/>
    <w:rsid w:val="006F04DD"/>
    <w:rsid w:val="006F0645"/>
    <w:rsid w:val="006F0801"/>
    <w:rsid w:val="006F0AA6"/>
    <w:rsid w:val="006F0CCB"/>
    <w:rsid w:val="006F0EB6"/>
    <w:rsid w:val="006F1C38"/>
    <w:rsid w:val="006F25E6"/>
    <w:rsid w:val="006F30A4"/>
    <w:rsid w:val="006F386C"/>
    <w:rsid w:val="006F41E2"/>
    <w:rsid w:val="006F7374"/>
    <w:rsid w:val="00700398"/>
    <w:rsid w:val="00704061"/>
    <w:rsid w:val="00704488"/>
    <w:rsid w:val="00705D51"/>
    <w:rsid w:val="0070609E"/>
    <w:rsid w:val="00707D64"/>
    <w:rsid w:val="0071201A"/>
    <w:rsid w:val="0071356F"/>
    <w:rsid w:val="00714995"/>
    <w:rsid w:val="007155FD"/>
    <w:rsid w:val="0072012E"/>
    <w:rsid w:val="0072149E"/>
    <w:rsid w:val="007219BD"/>
    <w:rsid w:val="00722EE3"/>
    <w:rsid w:val="007241D9"/>
    <w:rsid w:val="0072421B"/>
    <w:rsid w:val="007269D7"/>
    <w:rsid w:val="007269E1"/>
    <w:rsid w:val="00726D5B"/>
    <w:rsid w:val="00730253"/>
    <w:rsid w:val="00730C6F"/>
    <w:rsid w:val="00730CC1"/>
    <w:rsid w:val="007314DE"/>
    <w:rsid w:val="007315BB"/>
    <w:rsid w:val="00731F0C"/>
    <w:rsid w:val="00734A59"/>
    <w:rsid w:val="007377EB"/>
    <w:rsid w:val="00742333"/>
    <w:rsid w:val="007430F8"/>
    <w:rsid w:val="007434BC"/>
    <w:rsid w:val="0074365F"/>
    <w:rsid w:val="007436E1"/>
    <w:rsid w:val="0074478B"/>
    <w:rsid w:val="00744D74"/>
    <w:rsid w:val="00745CE8"/>
    <w:rsid w:val="007462C3"/>
    <w:rsid w:val="0074631E"/>
    <w:rsid w:val="007464C7"/>
    <w:rsid w:val="00747337"/>
    <w:rsid w:val="0074784F"/>
    <w:rsid w:val="007479D0"/>
    <w:rsid w:val="00752996"/>
    <w:rsid w:val="00755E0D"/>
    <w:rsid w:val="00755E9B"/>
    <w:rsid w:val="00755F9F"/>
    <w:rsid w:val="00756101"/>
    <w:rsid w:val="00757247"/>
    <w:rsid w:val="0075738C"/>
    <w:rsid w:val="007579B9"/>
    <w:rsid w:val="00760613"/>
    <w:rsid w:val="00760CA8"/>
    <w:rsid w:val="00760E5B"/>
    <w:rsid w:val="00762742"/>
    <w:rsid w:val="007635CD"/>
    <w:rsid w:val="00763B3B"/>
    <w:rsid w:val="00763B61"/>
    <w:rsid w:val="00763F85"/>
    <w:rsid w:val="007645E9"/>
    <w:rsid w:val="007647EB"/>
    <w:rsid w:val="0076559A"/>
    <w:rsid w:val="00765831"/>
    <w:rsid w:val="00765A7E"/>
    <w:rsid w:val="0076667A"/>
    <w:rsid w:val="00767E0C"/>
    <w:rsid w:val="007702D5"/>
    <w:rsid w:val="00770F29"/>
    <w:rsid w:val="00770FCB"/>
    <w:rsid w:val="00771239"/>
    <w:rsid w:val="007724DE"/>
    <w:rsid w:val="0077265C"/>
    <w:rsid w:val="007733A8"/>
    <w:rsid w:val="0077375C"/>
    <w:rsid w:val="00774981"/>
    <w:rsid w:val="00777539"/>
    <w:rsid w:val="00777902"/>
    <w:rsid w:val="00777BB1"/>
    <w:rsid w:val="00777D20"/>
    <w:rsid w:val="00780078"/>
    <w:rsid w:val="007809D0"/>
    <w:rsid w:val="00780A03"/>
    <w:rsid w:val="00780E97"/>
    <w:rsid w:val="00780ED0"/>
    <w:rsid w:val="0078158B"/>
    <w:rsid w:val="00781A2F"/>
    <w:rsid w:val="00782317"/>
    <w:rsid w:val="00783515"/>
    <w:rsid w:val="00784701"/>
    <w:rsid w:val="00784D4C"/>
    <w:rsid w:val="0078533F"/>
    <w:rsid w:val="007860E3"/>
    <w:rsid w:val="0078638B"/>
    <w:rsid w:val="0078657A"/>
    <w:rsid w:val="00787B74"/>
    <w:rsid w:val="00790766"/>
    <w:rsid w:val="00790921"/>
    <w:rsid w:val="00791224"/>
    <w:rsid w:val="0079235A"/>
    <w:rsid w:val="007928F9"/>
    <w:rsid w:val="00792B0E"/>
    <w:rsid w:val="00792FB2"/>
    <w:rsid w:val="00794573"/>
    <w:rsid w:val="00794F1C"/>
    <w:rsid w:val="00795056"/>
    <w:rsid w:val="007950CC"/>
    <w:rsid w:val="00795398"/>
    <w:rsid w:val="007A0EDD"/>
    <w:rsid w:val="007A109F"/>
    <w:rsid w:val="007A10AB"/>
    <w:rsid w:val="007A2AA0"/>
    <w:rsid w:val="007A3702"/>
    <w:rsid w:val="007A38B8"/>
    <w:rsid w:val="007A46BC"/>
    <w:rsid w:val="007A5D8A"/>
    <w:rsid w:val="007A670B"/>
    <w:rsid w:val="007A7BD8"/>
    <w:rsid w:val="007B0CE0"/>
    <w:rsid w:val="007B2796"/>
    <w:rsid w:val="007B28EF"/>
    <w:rsid w:val="007B2AF9"/>
    <w:rsid w:val="007B3270"/>
    <w:rsid w:val="007B4F1A"/>
    <w:rsid w:val="007B50C0"/>
    <w:rsid w:val="007B6C91"/>
    <w:rsid w:val="007B6EBC"/>
    <w:rsid w:val="007B7083"/>
    <w:rsid w:val="007B7A71"/>
    <w:rsid w:val="007C109A"/>
    <w:rsid w:val="007C1273"/>
    <w:rsid w:val="007C1741"/>
    <w:rsid w:val="007C1901"/>
    <w:rsid w:val="007C2E54"/>
    <w:rsid w:val="007C353B"/>
    <w:rsid w:val="007C3C97"/>
    <w:rsid w:val="007C40F1"/>
    <w:rsid w:val="007C50C6"/>
    <w:rsid w:val="007C5325"/>
    <w:rsid w:val="007C60B1"/>
    <w:rsid w:val="007C660F"/>
    <w:rsid w:val="007C71A6"/>
    <w:rsid w:val="007C74E8"/>
    <w:rsid w:val="007C79AC"/>
    <w:rsid w:val="007C7AD4"/>
    <w:rsid w:val="007D0138"/>
    <w:rsid w:val="007D0CE3"/>
    <w:rsid w:val="007D29F4"/>
    <w:rsid w:val="007D2DC1"/>
    <w:rsid w:val="007D2ED2"/>
    <w:rsid w:val="007D3598"/>
    <w:rsid w:val="007D3C36"/>
    <w:rsid w:val="007D41E7"/>
    <w:rsid w:val="007D4221"/>
    <w:rsid w:val="007D4662"/>
    <w:rsid w:val="007D510F"/>
    <w:rsid w:val="007D5C64"/>
    <w:rsid w:val="007D5F39"/>
    <w:rsid w:val="007D67A5"/>
    <w:rsid w:val="007D6A36"/>
    <w:rsid w:val="007D6CB0"/>
    <w:rsid w:val="007D7A5E"/>
    <w:rsid w:val="007D7EBE"/>
    <w:rsid w:val="007E0293"/>
    <w:rsid w:val="007E0B22"/>
    <w:rsid w:val="007E0D49"/>
    <w:rsid w:val="007E230B"/>
    <w:rsid w:val="007E2CC7"/>
    <w:rsid w:val="007E3A51"/>
    <w:rsid w:val="007E449E"/>
    <w:rsid w:val="007E4638"/>
    <w:rsid w:val="007E490C"/>
    <w:rsid w:val="007E5122"/>
    <w:rsid w:val="007E597F"/>
    <w:rsid w:val="007E6FE8"/>
    <w:rsid w:val="007F0983"/>
    <w:rsid w:val="007F1907"/>
    <w:rsid w:val="007F2577"/>
    <w:rsid w:val="007F41BC"/>
    <w:rsid w:val="007F4B0A"/>
    <w:rsid w:val="007F558C"/>
    <w:rsid w:val="007F5C6E"/>
    <w:rsid w:val="008003A4"/>
    <w:rsid w:val="00800FF8"/>
    <w:rsid w:val="00801A78"/>
    <w:rsid w:val="008034AA"/>
    <w:rsid w:val="00803A8A"/>
    <w:rsid w:val="0080446D"/>
    <w:rsid w:val="0080469B"/>
    <w:rsid w:val="008046F1"/>
    <w:rsid w:val="0080479B"/>
    <w:rsid w:val="00804C6E"/>
    <w:rsid w:val="008057F9"/>
    <w:rsid w:val="00805C7B"/>
    <w:rsid w:val="0081378D"/>
    <w:rsid w:val="00814E17"/>
    <w:rsid w:val="00815A82"/>
    <w:rsid w:val="00815DA3"/>
    <w:rsid w:val="00816172"/>
    <w:rsid w:val="00816FF5"/>
    <w:rsid w:val="00817E09"/>
    <w:rsid w:val="008229A3"/>
    <w:rsid w:val="0082470B"/>
    <w:rsid w:val="008248EC"/>
    <w:rsid w:val="00824A9B"/>
    <w:rsid w:val="00824E52"/>
    <w:rsid w:val="008254C5"/>
    <w:rsid w:val="00826DFA"/>
    <w:rsid w:val="00826F54"/>
    <w:rsid w:val="00826F8C"/>
    <w:rsid w:val="00827E07"/>
    <w:rsid w:val="00830955"/>
    <w:rsid w:val="0083126E"/>
    <w:rsid w:val="00831EDE"/>
    <w:rsid w:val="008324B2"/>
    <w:rsid w:val="00832A4A"/>
    <w:rsid w:val="00832DAB"/>
    <w:rsid w:val="00833BEB"/>
    <w:rsid w:val="00834096"/>
    <w:rsid w:val="00834D96"/>
    <w:rsid w:val="00836CBE"/>
    <w:rsid w:val="00836DE3"/>
    <w:rsid w:val="0083719B"/>
    <w:rsid w:val="00837E5F"/>
    <w:rsid w:val="00840548"/>
    <w:rsid w:val="008409F4"/>
    <w:rsid w:val="00843305"/>
    <w:rsid w:val="00843899"/>
    <w:rsid w:val="00843904"/>
    <w:rsid w:val="00843BC8"/>
    <w:rsid w:val="008454E7"/>
    <w:rsid w:val="0085035E"/>
    <w:rsid w:val="00851A36"/>
    <w:rsid w:val="00851F15"/>
    <w:rsid w:val="00851F51"/>
    <w:rsid w:val="00852620"/>
    <w:rsid w:val="008539DE"/>
    <w:rsid w:val="00854423"/>
    <w:rsid w:val="0085474D"/>
    <w:rsid w:val="00854A6D"/>
    <w:rsid w:val="00856096"/>
    <w:rsid w:val="00856270"/>
    <w:rsid w:val="00856412"/>
    <w:rsid w:val="008564FA"/>
    <w:rsid w:val="00856621"/>
    <w:rsid w:val="0086054E"/>
    <w:rsid w:val="00860C36"/>
    <w:rsid w:val="00860F04"/>
    <w:rsid w:val="008614A3"/>
    <w:rsid w:val="0086163D"/>
    <w:rsid w:val="00862142"/>
    <w:rsid w:val="008623F4"/>
    <w:rsid w:val="00862527"/>
    <w:rsid w:val="008629DE"/>
    <w:rsid w:val="00862CFA"/>
    <w:rsid w:val="00862D93"/>
    <w:rsid w:val="00863081"/>
    <w:rsid w:val="008641F6"/>
    <w:rsid w:val="00864CBB"/>
    <w:rsid w:val="00870B85"/>
    <w:rsid w:val="00870D9E"/>
    <w:rsid w:val="0087179B"/>
    <w:rsid w:val="00871F11"/>
    <w:rsid w:val="00873DDF"/>
    <w:rsid w:val="008752F2"/>
    <w:rsid w:val="008761D7"/>
    <w:rsid w:val="00876338"/>
    <w:rsid w:val="00880964"/>
    <w:rsid w:val="00881B94"/>
    <w:rsid w:val="00882827"/>
    <w:rsid w:val="008836B4"/>
    <w:rsid w:val="00883DFF"/>
    <w:rsid w:val="0088403B"/>
    <w:rsid w:val="008843B9"/>
    <w:rsid w:val="00884525"/>
    <w:rsid w:val="0088594A"/>
    <w:rsid w:val="00886C82"/>
    <w:rsid w:val="00887F68"/>
    <w:rsid w:val="0089148F"/>
    <w:rsid w:val="00891BE6"/>
    <w:rsid w:val="00891E12"/>
    <w:rsid w:val="00892D64"/>
    <w:rsid w:val="00893AF8"/>
    <w:rsid w:val="00893E6C"/>
    <w:rsid w:val="00895163"/>
    <w:rsid w:val="00895D2F"/>
    <w:rsid w:val="00895D6F"/>
    <w:rsid w:val="00895EE5"/>
    <w:rsid w:val="0089605D"/>
    <w:rsid w:val="0089695A"/>
    <w:rsid w:val="00896AB0"/>
    <w:rsid w:val="008A0694"/>
    <w:rsid w:val="008A1301"/>
    <w:rsid w:val="008A1E79"/>
    <w:rsid w:val="008A2BFC"/>
    <w:rsid w:val="008A3804"/>
    <w:rsid w:val="008A4F72"/>
    <w:rsid w:val="008A68CC"/>
    <w:rsid w:val="008A6E25"/>
    <w:rsid w:val="008B1497"/>
    <w:rsid w:val="008B1851"/>
    <w:rsid w:val="008B1F1F"/>
    <w:rsid w:val="008B200D"/>
    <w:rsid w:val="008B374B"/>
    <w:rsid w:val="008B49C1"/>
    <w:rsid w:val="008B4B82"/>
    <w:rsid w:val="008B5394"/>
    <w:rsid w:val="008B64BA"/>
    <w:rsid w:val="008C0CE1"/>
    <w:rsid w:val="008C2BA9"/>
    <w:rsid w:val="008C35E3"/>
    <w:rsid w:val="008C40D9"/>
    <w:rsid w:val="008C5C79"/>
    <w:rsid w:val="008C648F"/>
    <w:rsid w:val="008C6AD7"/>
    <w:rsid w:val="008C738F"/>
    <w:rsid w:val="008C7EF4"/>
    <w:rsid w:val="008D10C2"/>
    <w:rsid w:val="008D171F"/>
    <w:rsid w:val="008D2B10"/>
    <w:rsid w:val="008D4A04"/>
    <w:rsid w:val="008D52AB"/>
    <w:rsid w:val="008D645B"/>
    <w:rsid w:val="008D67C6"/>
    <w:rsid w:val="008D7330"/>
    <w:rsid w:val="008E1D7D"/>
    <w:rsid w:val="008E206B"/>
    <w:rsid w:val="008E2B5E"/>
    <w:rsid w:val="008E341F"/>
    <w:rsid w:val="008E558E"/>
    <w:rsid w:val="008E5783"/>
    <w:rsid w:val="008E5BF4"/>
    <w:rsid w:val="008E6DCA"/>
    <w:rsid w:val="008E74AD"/>
    <w:rsid w:val="008F03DE"/>
    <w:rsid w:val="008F0B54"/>
    <w:rsid w:val="008F323F"/>
    <w:rsid w:val="008F3507"/>
    <w:rsid w:val="008F3AF2"/>
    <w:rsid w:val="008F3E12"/>
    <w:rsid w:val="008F47A9"/>
    <w:rsid w:val="008F4808"/>
    <w:rsid w:val="008F4E72"/>
    <w:rsid w:val="008F552F"/>
    <w:rsid w:val="008F5D04"/>
    <w:rsid w:val="008F6BF6"/>
    <w:rsid w:val="008F7D22"/>
    <w:rsid w:val="00901202"/>
    <w:rsid w:val="009028CF"/>
    <w:rsid w:val="00903128"/>
    <w:rsid w:val="0090360D"/>
    <w:rsid w:val="00903973"/>
    <w:rsid w:val="00906015"/>
    <w:rsid w:val="0090699B"/>
    <w:rsid w:val="009077E5"/>
    <w:rsid w:val="00911A11"/>
    <w:rsid w:val="00911A78"/>
    <w:rsid w:val="00911F22"/>
    <w:rsid w:val="00912746"/>
    <w:rsid w:val="0091360E"/>
    <w:rsid w:val="009138D1"/>
    <w:rsid w:val="0091420E"/>
    <w:rsid w:val="00915F3C"/>
    <w:rsid w:val="0091680C"/>
    <w:rsid w:val="00916DFF"/>
    <w:rsid w:val="00916F18"/>
    <w:rsid w:val="0091789F"/>
    <w:rsid w:val="00922222"/>
    <w:rsid w:val="00922B6F"/>
    <w:rsid w:val="0092419D"/>
    <w:rsid w:val="00924493"/>
    <w:rsid w:val="00925D01"/>
    <w:rsid w:val="00925DC7"/>
    <w:rsid w:val="00926957"/>
    <w:rsid w:val="00927BD9"/>
    <w:rsid w:val="00927D98"/>
    <w:rsid w:val="00930F11"/>
    <w:rsid w:val="00931615"/>
    <w:rsid w:val="0093259C"/>
    <w:rsid w:val="00932D7A"/>
    <w:rsid w:val="00932DF4"/>
    <w:rsid w:val="00936023"/>
    <w:rsid w:val="0093626E"/>
    <w:rsid w:val="00936428"/>
    <w:rsid w:val="00940193"/>
    <w:rsid w:val="00940D1A"/>
    <w:rsid w:val="00941446"/>
    <w:rsid w:val="009425C1"/>
    <w:rsid w:val="009427CE"/>
    <w:rsid w:val="00943998"/>
    <w:rsid w:val="00944647"/>
    <w:rsid w:val="00947104"/>
    <w:rsid w:val="0094782B"/>
    <w:rsid w:val="00950B58"/>
    <w:rsid w:val="0095347C"/>
    <w:rsid w:val="00953B92"/>
    <w:rsid w:val="00954771"/>
    <w:rsid w:val="00954DD7"/>
    <w:rsid w:val="009561A8"/>
    <w:rsid w:val="00956308"/>
    <w:rsid w:val="00957073"/>
    <w:rsid w:val="009608D5"/>
    <w:rsid w:val="00961D00"/>
    <w:rsid w:val="00964134"/>
    <w:rsid w:val="00964682"/>
    <w:rsid w:val="009652F4"/>
    <w:rsid w:val="0096634C"/>
    <w:rsid w:val="0097017F"/>
    <w:rsid w:val="009707DC"/>
    <w:rsid w:val="00970B9A"/>
    <w:rsid w:val="009714F0"/>
    <w:rsid w:val="00973EAE"/>
    <w:rsid w:val="0097438C"/>
    <w:rsid w:val="00974B78"/>
    <w:rsid w:val="00975F1C"/>
    <w:rsid w:val="009761CA"/>
    <w:rsid w:val="00977138"/>
    <w:rsid w:val="00977217"/>
    <w:rsid w:val="00977E70"/>
    <w:rsid w:val="009802DB"/>
    <w:rsid w:val="00980322"/>
    <w:rsid w:val="00980BAE"/>
    <w:rsid w:val="00983186"/>
    <w:rsid w:val="00983787"/>
    <w:rsid w:val="009847B2"/>
    <w:rsid w:val="00984A49"/>
    <w:rsid w:val="009852F5"/>
    <w:rsid w:val="0098613B"/>
    <w:rsid w:val="00986CCC"/>
    <w:rsid w:val="009872A1"/>
    <w:rsid w:val="0099072E"/>
    <w:rsid w:val="00990D01"/>
    <w:rsid w:val="00990F04"/>
    <w:rsid w:val="009926D8"/>
    <w:rsid w:val="00993C96"/>
    <w:rsid w:val="00994AC7"/>
    <w:rsid w:val="00994C09"/>
    <w:rsid w:val="00994DB7"/>
    <w:rsid w:val="00994E65"/>
    <w:rsid w:val="00996482"/>
    <w:rsid w:val="00996C0D"/>
    <w:rsid w:val="00997020"/>
    <w:rsid w:val="009A2A91"/>
    <w:rsid w:val="009A3528"/>
    <w:rsid w:val="009A4924"/>
    <w:rsid w:val="009A7F12"/>
    <w:rsid w:val="009B06C6"/>
    <w:rsid w:val="009B0ADE"/>
    <w:rsid w:val="009B202B"/>
    <w:rsid w:val="009B2457"/>
    <w:rsid w:val="009B2A10"/>
    <w:rsid w:val="009B367D"/>
    <w:rsid w:val="009B3A0D"/>
    <w:rsid w:val="009B44AE"/>
    <w:rsid w:val="009B4C9C"/>
    <w:rsid w:val="009B519C"/>
    <w:rsid w:val="009B5720"/>
    <w:rsid w:val="009B6250"/>
    <w:rsid w:val="009B63EB"/>
    <w:rsid w:val="009B6742"/>
    <w:rsid w:val="009B78A9"/>
    <w:rsid w:val="009B7A4D"/>
    <w:rsid w:val="009C02E7"/>
    <w:rsid w:val="009C0A6E"/>
    <w:rsid w:val="009C0B0A"/>
    <w:rsid w:val="009C10B9"/>
    <w:rsid w:val="009C12E7"/>
    <w:rsid w:val="009C159C"/>
    <w:rsid w:val="009C2510"/>
    <w:rsid w:val="009C2CA3"/>
    <w:rsid w:val="009C2DFA"/>
    <w:rsid w:val="009C360B"/>
    <w:rsid w:val="009C3AA3"/>
    <w:rsid w:val="009C3D39"/>
    <w:rsid w:val="009C3DFB"/>
    <w:rsid w:val="009C4330"/>
    <w:rsid w:val="009C54D3"/>
    <w:rsid w:val="009C6055"/>
    <w:rsid w:val="009C65A3"/>
    <w:rsid w:val="009C6EBF"/>
    <w:rsid w:val="009C75CB"/>
    <w:rsid w:val="009C77B3"/>
    <w:rsid w:val="009D0D2C"/>
    <w:rsid w:val="009D11F1"/>
    <w:rsid w:val="009D2059"/>
    <w:rsid w:val="009D4682"/>
    <w:rsid w:val="009D4742"/>
    <w:rsid w:val="009D4A92"/>
    <w:rsid w:val="009D5132"/>
    <w:rsid w:val="009D53F7"/>
    <w:rsid w:val="009D5F90"/>
    <w:rsid w:val="009D622F"/>
    <w:rsid w:val="009E03E7"/>
    <w:rsid w:val="009E069D"/>
    <w:rsid w:val="009E0E0A"/>
    <w:rsid w:val="009E1C17"/>
    <w:rsid w:val="009E279A"/>
    <w:rsid w:val="009E44FC"/>
    <w:rsid w:val="009E49F9"/>
    <w:rsid w:val="009E5C95"/>
    <w:rsid w:val="009E5E8A"/>
    <w:rsid w:val="009E62BC"/>
    <w:rsid w:val="009F24B7"/>
    <w:rsid w:val="009F293B"/>
    <w:rsid w:val="009F3A80"/>
    <w:rsid w:val="009F3B24"/>
    <w:rsid w:val="009F46AD"/>
    <w:rsid w:val="009F4BE1"/>
    <w:rsid w:val="009F5179"/>
    <w:rsid w:val="009F5E35"/>
    <w:rsid w:val="009F6D61"/>
    <w:rsid w:val="009F6E6F"/>
    <w:rsid w:val="009F7207"/>
    <w:rsid w:val="009F75BE"/>
    <w:rsid w:val="00A00315"/>
    <w:rsid w:val="00A00D72"/>
    <w:rsid w:val="00A00DA8"/>
    <w:rsid w:val="00A00E77"/>
    <w:rsid w:val="00A01365"/>
    <w:rsid w:val="00A042DA"/>
    <w:rsid w:val="00A05822"/>
    <w:rsid w:val="00A05F90"/>
    <w:rsid w:val="00A06F51"/>
    <w:rsid w:val="00A074BA"/>
    <w:rsid w:val="00A0763E"/>
    <w:rsid w:val="00A109B5"/>
    <w:rsid w:val="00A12E0C"/>
    <w:rsid w:val="00A12FB9"/>
    <w:rsid w:val="00A13AE3"/>
    <w:rsid w:val="00A144B8"/>
    <w:rsid w:val="00A14871"/>
    <w:rsid w:val="00A152C1"/>
    <w:rsid w:val="00A16668"/>
    <w:rsid w:val="00A17645"/>
    <w:rsid w:val="00A17DBF"/>
    <w:rsid w:val="00A205EF"/>
    <w:rsid w:val="00A206F6"/>
    <w:rsid w:val="00A20AAE"/>
    <w:rsid w:val="00A240D4"/>
    <w:rsid w:val="00A252F5"/>
    <w:rsid w:val="00A25A03"/>
    <w:rsid w:val="00A3143D"/>
    <w:rsid w:val="00A32A7F"/>
    <w:rsid w:val="00A33D01"/>
    <w:rsid w:val="00A348BC"/>
    <w:rsid w:val="00A35385"/>
    <w:rsid w:val="00A35FE0"/>
    <w:rsid w:val="00A40CE5"/>
    <w:rsid w:val="00A40CF1"/>
    <w:rsid w:val="00A41CCF"/>
    <w:rsid w:val="00A429E9"/>
    <w:rsid w:val="00A435BB"/>
    <w:rsid w:val="00A44111"/>
    <w:rsid w:val="00A441B0"/>
    <w:rsid w:val="00A446E8"/>
    <w:rsid w:val="00A44D1F"/>
    <w:rsid w:val="00A473BF"/>
    <w:rsid w:val="00A47BEC"/>
    <w:rsid w:val="00A47E1F"/>
    <w:rsid w:val="00A51D47"/>
    <w:rsid w:val="00A51DC1"/>
    <w:rsid w:val="00A52582"/>
    <w:rsid w:val="00A57DA8"/>
    <w:rsid w:val="00A6053F"/>
    <w:rsid w:val="00A61277"/>
    <w:rsid w:val="00A621D6"/>
    <w:rsid w:val="00A629A8"/>
    <w:rsid w:val="00A63084"/>
    <w:rsid w:val="00A63C4C"/>
    <w:rsid w:val="00A6426B"/>
    <w:rsid w:val="00A648EF"/>
    <w:rsid w:val="00A64A98"/>
    <w:rsid w:val="00A64FC5"/>
    <w:rsid w:val="00A6527F"/>
    <w:rsid w:val="00A674E2"/>
    <w:rsid w:val="00A70E44"/>
    <w:rsid w:val="00A70EFB"/>
    <w:rsid w:val="00A71821"/>
    <w:rsid w:val="00A71896"/>
    <w:rsid w:val="00A71AF8"/>
    <w:rsid w:val="00A720B3"/>
    <w:rsid w:val="00A742E4"/>
    <w:rsid w:val="00A7457C"/>
    <w:rsid w:val="00A746C9"/>
    <w:rsid w:val="00A75EE6"/>
    <w:rsid w:val="00A76085"/>
    <w:rsid w:val="00A76C9B"/>
    <w:rsid w:val="00A8228B"/>
    <w:rsid w:val="00A82B9D"/>
    <w:rsid w:val="00A82D2E"/>
    <w:rsid w:val="00A8307D"/>
    <w:rsid w:val="00A8455B"/>
    <w:rsid w:val="00A845A5"/>
    <w:rsid w:val="00A8485C"/>
    <w:rsid w:val="00A84EE1"/>
    <w:rsid w:val="00A853C5"/>
    <w:rsid w:val="00A8555E"/>
    <w:rsid w:val="00A85AB3"/>
    <w:rsid w:val="00A85E61"/>
    <w:rsid w:val="00A86421"/>
    <w:rsid w:val="00A871BD"/>
    <w:rsid w:val="00A87717"/>
    <w:rsid w:val="00A900BA"/>
    <w:rsid w:val="00A905F4"/>
    <w:rsid w:val="00A906A7"/>
    <w:rsid w:val="00A90B03"/>
    <w:rsid w:val="00A91416"/>
    <w:rsid w:val="00A91957"/>
    <w:rsid w:val="00A9205E"/>
    <w:rsid w:val="00A929CF"/>
    <w:rsid w:val="00A92EB8"/>
    <w:rsid w:val="00A93E40"/>
    <w:rsid w:val="00A94FF0"/>
    <w:rsid w:val="00A9571E"/>
    <w:rsid w:val="00A95728"/>
    <w:rsid w:val="00A9709E"/>
    <w:rsid w:val="00A9738F"/>
    <w:rsid w:val="00A975AB"/>
    <w:rsid w:val="00AA00FC"/>
    <w:rsid w:val="00AA09EB"/>
    <w:rsid w:val="00AA0BC9"/>
    <w:rsid w:val="00AA1300"/>
    <w:rsid w:val="00AA1F37"/>
    <w:rsid w:val="00AA23E9"/>
    <w:rsid w:val="00AA4563"/>
    <w:rsid w:val="00AA5F48"/>
    <w:rsid w:val="00AA7CA1"/>
    <w:rsid w:val="00AB0F95"/>
    <w:rsid w:val="00AB1A2E"/>
    <w:rsid w:val="00AB20F6"/>
    <w:rsid w:val="00AB2950"/>
    <w:rsid w:val="00AB40B0"/>
    <w:rsid w:val="00AB4601"/>
    <w:rsid w:val="00AB54AD"/>
    <w:rsid w:val="00AB5980"/>
    <w:rsid w:val="00AC01C6"/>
    <w:rsid w:val="00AC07DA"/>
    <w:rsid w:val="00AC0C3B"/>
    <w:rsid w:val="00AC0E62"/>
    <w:rsid w:val="00AC0FE0"/>
    <w:rsid w:val="00AC1ADC"/>
    <w:rsid w:val="00AC2566"/>
    <w:rsid w:val="00AC2A1A"/>
    <w:rsid w:val="00AC2BE2"/>
    <w:rsid w:val="00AC36C4"/>
    <w:rsid w:val="00AC4155"/>
    <w:rsid w:val="00AC4B1C"/>
    <w:rsid w:val="00AC51DC"/>
    <w:rsid w:val="00AC5338"/>
    <w:rsid w:val="00AC54B3"/>
    <w:rsid w:val="00AC56F0"/>
    <w:rsid w:val="00AC5C13"/>
    <w:rsid w:val="00AD0030"/>
    <w:rsid w:val="00AD02A2"/>
    <w:rsid w:val="00AD04C6"/>
    <w:rsid w:val="00AD0910"/>
    <w:rsid w:val="00AD16EA"/>
    <w:rsid w:val="00AD1A5E"/>
    <w:rsid w:val="00AD1CC0"/>
    <w:rsid w:val="00AD2088"/>
    <w:rsid w:val="00AD2269"/>
    <w:rsid w:val="00AD42FF"/>
    <w:rsid w:val="00AD55C9"/>
    <w:rsid w:val="00AD5CF7"/>
    <w:rsid w:val="00AD5D5B"/>
    <w:rsid w:val="00AD6C9E"/>
    <w:rsid w:val="00AD7216"/>
    <w:rsid w:val="00AE128D"/>
    <w:rsid w:val="00AE1536"/>
    <w:rsid w:val="00AE1554"/>
    <w:rsid w:val="00AE15C2"/>
    <w:rsid w:val="00AE1BFC"/>
    <w:rsid w:val="00AE2546"/>
    <w:rsid w:val="00AE2C0C"/>
    <w:rsid w:val="00AE35D1"/>
    <w:rsid w:val="00AE6175"/>
    <w:rsid w:val="00AF1C3D"/>
    <w:rsid w:val="00AF261E"/>
    <w:rsid w:val="00AF26ED"/>
    <w:rsid w:val="00AF28CC"/>
    <w:rsid w:val="00AF3AEC"/>
    <w:rsid w:val="00AF5316"/>
    <w:rsid w:val="00AF6354"/>
    <w:rsid w:val="00AF6647"/>
    <w:rsid w:val="00AF75CD"/>
    <w:rsid w:val="00B00D99"/>
    <w:rsid w:val="00B01047"/>
    <w:rsid w:val="00B016C7"/>
    <w:rsid w:val="00B01C69"/>
    <w:rsid w:val="00B01D29"/>
    <w:rsid w:val="00B037BA"/>
    <w:rsid w:val="00B0489E"/>
    <w:rsid w:val="00B04E47"/>
    <w:rsid w:val="00B050E0"/>
    <w:rsid w:val="00B077C9"/>
    <w:rsid w:val="00B079D7"/>
    <w:rsid w:val="00B07D14"/>
    <w:rsid w:val="00B07D1F"/>
    <w:rsid w:val="00B118B6"/>
    <w:rsid w:val="00B11A87"/>
    <w:rsid w:val="00B12325"/>
    <w:rsid w:val="00B12606"/>
    <w:rsid w:val="00B12B82"/>
    <w:rsid w:val="00B12CF3"/>
    <w:rsid w:val="00B12FAF"/>
    <w:rsid w:val="00B14875"/>
    <w:rsid w:val="00B154F7"/>
    <w:rsid w:val="00B15984"/>
    <w:rsid w:val="00B15DB1"/>
    <w:rsid w:val="00B17AA4"/>
    <w:rsid w:val="00B21886"/>
    <w:rsid w:val="00B222ED"/>
    <w:rsid w:val="00B23396"/>
    <w:rsid w:val="00B23479"/>
    <w:rsid w:val="00B238D7"/>
    <w:rsid w:val="00B244E7"/>
    <w:rsid w:val="00B24C90"/>
    <w:rsid w:val="00B2510A"/>
    <w:rsid w:val="00B268ED"/>
    <w:rsid w:val="00B27107"/>
    <w:rsid w:val="00B300D4"/>
    <w:rsid w:val="00B304B9"/>
    <w:rsid w:val="00B304EF"/>
    <w:rsid w:val="00B32C7E"/>
    <w:rsid w:val="00B32D32"/>
    <w:rsid w:val="00B33F9D"/>
    <w:rsid w:val="00B35E1A"/>
    <w:rsid w:val="00B36E62"/>
    <w:rsid w:val="00B37C3B"/>
    <w:rsid w:val="00B37F7F"/>
    <w:rsid w:val="00B40F22"/>
    <w:rsid w:val="00B41481"/>
    <w:rsid w:val="00B42D64"/>
    <w:rsid w:val="00B43FBD"/>
    <w:rsid w:val="00B4473A"/>
    <w:rsid w:val="00B4529D"/>
    <w:rsid w:val="00B460A7"/>
    <w:rsid w:val="00B50DC9"/>
    <w:rsid w:val="00B51689"/>
    <w:rsid w:val="00B52EB8"/>
    <w:rsid w:val="00B5302F"/>
    <w:rsid w:val="00B5329F"/>
    <w:rsid w:val="00B53562"/>
    <w:rsid w:val="00B56038"/>
    <w:rsid w:val="00B56250"/>
    <w:rsid w:val="00B56995"/>
    <w:rsid w:val="00B56FD4"/>
    <w:rsid w:val="00B60318"/>
    <w:rsid w:val="00B60389"/>
    <w:rsid w:val="00B61ACF"/>
    <w:rsid w:val="00B62AC8"/>
    <w:rsid w:val="00B62E19"/>
    <w:rsid w:val="00B6306D"/>
    <w:rsid w:val="00B63138"/>
    <w:rsid w:val="00B6422A"/>
    <w:rsid w:val="00B6484E"/>
    <w:rsid w:val="00B64D8D"/>
    <w:rsid w:val="00B64D98"/>
    <w:rsid w:val="00B65AB9"/>
    <w:rsid w:val="00B667F1"/>
    <w:rsid w:val="00B678BE"/>
    <w:rsid w:val="00B67D66"/>
    <w:rsid w:val="00B7094C"/>
    <w:rsid w:val="00B7108E"/>
    <w:rsid w:val="00B71153"/>
    <w:rsid w:val="00B72672"/>
    <w:rsid w:val="00B72DB0"/>
    <w:rsid w:val="00B738D5"/>
    <w:rsid w:val="00B73BC3"/>
    <w:rsid w:val="00B74F5B"/>
    <w:rsid w:val="00B7523B"/>
    <w:rsid w:val="00B75C2A"/>
    <w:rsid w:val="00B764A1"/>
    <w:rsid w:val="00B77396"/>
    <w:rsid w:val="00B80A17"/>
    <w:rsid w:val="00B81499"/>
    <w:rsid w:val="00B82F15"/>
    <w:rsid w:val="00B8385D"/>
    <w:rsid w:val="00B83E24"/>
    <w:rsid w:val="00B84256"/>
    <w:rsid w:val="00B856E5"/>
    <w:rsid w:val="00B85C29"/>
    <w:rsid w:val="00B86028"/>
    <w:rsid w:val="00B876CB"/>
    <w:rsid w:val="00B90B48"/>
    <w:rsid w:val="00B90D92"/>
    <w:rsid w:val="00B93C3C"/>
    <w:rsid w:val="00B950B4"/>
    <w:rsid w:val="00B961AB"/>
    <w:rsid w:val="00B9720E"/>
    <w:rsid w:val="00B974B3"/>
    <w:rsid w:val="00BA092C"/>
    <w:rsid w:val="00BA1538"/>
    <w:rsid w:val="00BA1E7B"/>
    <w:rsid w:val="00BA3309"/>
    <w:rsid w:val="00BA3C54"/>
    <w:rsid w:val="00BA3ECC"/>
    <w:rsid w:val="00BA5108"/>
    <w:rsid w:val="00BA66F2"/>
    <w:rsid w:val="00BA79C7"/>
    <w:rsid w:val="00BB1364"/>
    <w:rsid w:val="00BB1BC7"/>
    <w:rsid w:val="00BB21A2"/>
    <w:rsid w:val="00BB2957"/>
    <w:rsid w:val="00BB2B48"/>
    <w:rsid w:val="00BB4D31"/>
    <w:rsid w:val="00BB4D47"/>
    <w:rsid w:val="00BB4E11"/>
    <w:rsid w:val="00BB50B6"/>
    <w:rsid w:val="00BB52DB"/>
    <w:rsid w:val="00BB5D71"/>
    <w:rsid w:val="00BB5E5D"/>
    <w:rsid w:val="00BB70C7"/>
    <w:rsid w:val="00BC0009"/>
    <w:rsid w:val="00BC0679"/>
    <w:rsid w:val="00BC0CDC"/>
    <w:rsid w:val="00BC2782"/>
    <w:rsid w:val="00BC27E2"/>
    <w:rsid w:val="00BC3E03"/>
    <w:rsid w:val="00BC4A69"/>
    <w:rsid w:val="00BC6352"/>
    <w:rsid w:val="00BC6B93"/>
    <w:rsid w:val="00BC70BE"/>
    <w:rsid w:val="00BC771C"/>
    <w:rsid w:val="00BC7E48"/>
    <w:rsid w:val="00BD068A"/>
    <w:rsid w:val="00BD0809"/>
    <w:rsid w:val="00BD0892"/>
    <w:rsid w:val="00BD220F"/>
    <w:rsid w:val="00BD24A0"/>
    <w:rsid w:val="00BD2949"/>
    <w:rsid w:val="00BD2971"/>
    <w:rsid w:val="00BD3063"/>
    <w:rsid w:val="00BD4594"/>
    <w:rsid w:val="00BD4C93"/>
    <w:rsid w:val="00BD501B"/>
    <w:rsid w:val="00BD5AC0"/>
    <w:rsid w:val="00BD7694"/>
    <w:rsid w:val="00BD7A2E"/>
    <w:rsid w:val="00BD7A39"/>
    <w:rsid w:val="00BD7FF6"/>
    <w:rsid w:val="00BE0756"/>
    <w:rsid w:val="00BE0CCB"/>
    <w:rsid w:val="00BE0FAE"/>
    <w:rsid w:val="00BE249A"/>
    <w:rsid w:val="00BE25C1"/>
    <w:rsid w:val="00BE2854"/>
    <w:rsid w:val="00BE2AFF"/>
    <w:rsid w:val="00BE398E"/>
    <w:rsid w:val="00BE3C72"/>
    <w:rsid w:val="00BE4E2B"/>
    <w:rsid w:val="00BE50A5"/>
    <w:rsid w:val="00BE5196"/>
    <w:rsid w:val="00BE548B"/>
    <w:rsid w:val="00BE54DB"/>
    <w:rsid w:val="00BE5FBD"/>
    <w:rsid w:val="00BE7C55"/>
    <w:rsid w:val="00BF0694"/>
    <w:rsid w:val="00BF290A"/>
    <w:rsid w:val="00BF2C54"/>
    <w:rsid w:val="00BF31CD"/>
    <w:rsid w:val="00BF456C"/>
    <w:rsid w:val="00BF5066"/>
    <w:rsid w:val="00BF6CE8"/>
    <w:rsid w:val="00BF6FC0"/>
    <w:rsid w:val="00C00180"/>
    <w:rsid w:val="00C0294C"/>
    <w:rsid w:val="00C046DD"/>
    <w:rsid w:val="00C049FA"/>
    <w:rsid w:val="00C05ECB"/>
    <w:rsid w:val="00C0651F"/>
    <w:rsid w:val="00C06B9C"/>
    <w:rsid w:val="00C06D9F"/>
    <w:rsid w:val="00C06DDC"/>
    <w:rsid w:val="00C075AA"/>
    <w:rsid w:val="00C07A68"/>
    <w:rsid w:val="00C10B12"/>
    <w:rsid w:val="00C118A7"/>
    <w:rsid w:val="00C12B30"/>
    <w:rsid w:val="00C13010"/>
    <w:rsid w:val="00C13CF5"/>
    <w:rsid w:val="00C14F83"/>
    <w:rsid w:val="00C15367"/>
    <w:rsid w:val="00C16E28"/>
    <w:rsid w:val="00C22368"/>
    <w:rsid w:val="00C223F3"/>
    <w:rsid w:val="00C227EA"/>
    <w:rsid w:val="00C22A4F"/>
    <w:rsid w:val="00C22ED4"/>
    <w:rsid w:val="00C2302A"/>
    <w:rsid w:val="00C23FD1"/>
    <w:rsid w:val="00C2558C"/>
    <w:rsid w:val="00C257D8"/>
    <w:rsid w:val="00C27B1F"/>
    <w:rsid w:val="00C3073C"/>
    <w:rsid w:val="00C309D8"/>
    <w:rsid w:val="00C30D37"/>
    <w:rsid w:val="00C32E6B"/>
    <w:rsid w:val="00C33124"/>
    <w:rsid w:val="00C33F7C"/>
    <w:rsid w:val="00C34820"/>
    <w:rsid w:val="00C349B6"/>
    <w:rsid w:val="00C355D8"/>
    <w:rsid w:val="00C35930"/>
    <w:rsid w:val="00C36FB7"/>
    <w:rsid w:val="00C4038E"/>
    <w:rsid w:val="00C41200"/>
    <w:rsid w:val="00C4150F"/>
    <w:rsid w:val="00C418F4"/>
    <w:rsid w:val="00C41D59"/>
    <w:rsid w:val="00C43CF5"/>
    <w:rsid w:val="00C46E59"/>
    <w:rsid w:val="00C47B57"/>
    <w:rsid w:val="00C51638"/>
    <w:rsid w:val="00C516D8"/>
    <w:rsid w:val="00C51860"/>
    <w:rsid w:val="00C52A05"/>
    <w:rsid w:val="00C52D6F"/>
    <w:rsid w:val="00C5528B"/>
    <w:rsid w:val="00C56B37"/>
    <w:rsid w:val="00C60CD7"/>
    <w:rsid w:val="00C61150"/>
    <w:rsid w:val="00C615B9"/>
    <w:rsid w:val="00C6195F"/>
    <w:rsid w:val="00C6273C"/>
    <w:rsid w:val="00C62E25"/>
    <w:rsid w:val="00C63DAB"/>
    <w:rsid w:val="00C63F45"/>
    <w:rsid w:val="00C64B08"/>
    <w:rsid w:val="00C66682"/>
    <w:rsid w:val="00C67DE3"/>
    <w:rsid w:val="00C725CC"/>
    <w:rsid w:val="00C730A5"/>
    <w:rsid w:val="00C73CEF"/>
    <w:rsid w:val="00C73FB3"/>
    <w:rsid w:val="00C74545"/>
    <w:rsid w:val="00C74636"/>
    <w:rsid w:val="00C748CF"/>
    <w:rsid w:val="00C74BE6"/>
    <w:rsid w:val="00C75DEC"/>
    <w:rsid w:val="00C76071"/>
    <w:rsid w:val="00C80664"/>
    <w:rsid w:val="00C80BF8"/>
    <w:rsid w:val="00C81115"/>
    <w:rsid w:val="00C842EA"/>
    <w:rsid w:val="00C853AA"/>
    <w:rsid w:val="00C85890"/>
    <w:rsid w:val="00C85904"/>
    <w:rsid w:val="00C862BC"/>
    <w:rsid w:val="00C903F5"/>
    <w:rsid w:val="00C913B6"/>
    <w:rsid w:val="00C914DE"/>
    <w:rsid w:val="00C93212"/>
    <w:rsid w:val="00C93F08"/>
    <w:rsid w:val="00C942CD"/>
    <w:rsid w:val="00C94A3F"/>
    <w:rsid w:val="00C950ED"/>
    <w:rsid w:val="00C96009"/>
    <w:rsid w:val="00C96E5D"/>
    <w:rsid w:val="00C975EA"/>
    <w:rsid w:val="00CA14CF"/>
    <w:rsid w:val="00CA162C"/>
    <w:rsid w:val="00CA1C53"/>
    <w:rsid w:val="00CA1F26"/>
    <w:rsid w:val="00CA2B9F"/>
    <w:rsid w:val="00CA2CF7"/>
    <w:rsid w:val="00CA35A8"/>
    <w:rsid w:val="00CA3B79"/>
    <w:rsid w:val="00CA454E"/>
    <w:rsid w:val="00CA4873"/>
    <w:rsid w:val="00CA4DA0"/>
    <w:rsid w:val="00CA7316"/>
    <w:rsid w:val="00CB0A68"/>
    <w:rsid w:val="00CB10D1"/>
    <w:rsid w:val="00CB195A"/>
    <w:rsid w:val="00CB25F0"/>
    <w:rsid w:val="00CB2B17"/>
    <w:rsid w:val="00CB325F"/>
    <w:rsid w:val="00CB5C41"/>
    <w:rsid w:val="00CB64A5"/>
    <w:rsid w:val="00CB79D6"/>
    <w:rsid w:val="00CB7EAA"/>
    <w:rsid w:val="00CB7F78"/>
    <w:rsid w:val="00CC0457"/>
    <w:rsid w:val="00CC2C25"/>
    <w:rsid w:val="00CC357E"/>
    <w:rsid w:val="00CC35E4"/>
    <w:rsid w:val="00CC3A21"/>
    <w:rsid w:val="00CC41CA"/>
    <w:rsid w:val="00CC42E8"/>
    <w:rsid w:val="00CC5362"/>
    <w:rsid w:val="00CC5B1C"/>
    <w:rsid w:val="00CC5EB9"/>
    <w:rsid w:val="00CC7597"/>
    <w:rsid w:val="00CD23CE"/>
    <w:rsid w:val="00CD3043"/>
    <w:rsid w:val="00CD3212"/>
    <w:rsid w:val="00CD3A3E"/>
    <w:rsid w:val="00CD3BB9"/>
    <w:rsid w:val="00CD4596"/>
    <w:rsid w:val="00CD61AA"/>
    <w:rsid w:val="00CD61ED"/>
    <w:rsid w:val="00CD7787"/>
    <w:rsid w:val="00CD788B"/>
    <w:rsid w:val="00CD792C"/>
    <w:rsid w:val="00CD7F52"/>
    <w:rsid w:val="00CE01B9"/>
    <w:rsid w:val="00CE09A6"/>
    <w:rsid w:val="00CE0CF5"/>
    <w:rsid w:val="00CE175B"/>
    <w:rsid w:val="00CE1B97"/>
    <w:rsid w:val="00CE40CF"/>
    <w:rsid w:val="00CE480B"/>
    <w:rsid w:val="00CE48C1"/>
    <w:rsid w:val="00CE4B22"/>
    <w:rsid w:val="00CF01DC"/>
    <w:rsid w:val="00CF12BB"/>
    <w:rsid w:val="00CF2633"/>
    <w:rsid w:val="00CF281A"/>
    <w:rsid w:val="00CF2BAB"/>
    <w:rsid w:val="00CF2BE7"/>
    <w:rsid w:val="00CF3A20"/>
    <w:rsid w:val="00CF3A9A"/>
    <w:rsid w:val="00CF4A32"/>
    <w:rsid w:val="00CF4A7A"/>
    <w:rsid w:val="00CF4EF2"/>
    <w:rsid w:val="00CF63F1"/>
    <w:rsid w:val="00CF7086"/>
    <w:rsid w:val="00D00413"/>
    <w:rsid w:val="00D00539"/>
    <w:rsid w:val="00D00E77"/>
    <w:rsid w:val="00D01361"/>
    <w:rsid w:val="00D036DB"/>
    <w:rsid w:val="00D03931"/>
    <w:rsid w:val="00D039DE"/>
    <w:rsid w:val="00D04C6E"/>
    <w:rsid w:val="00D0546F"/>
    <w:rsid w:val="00D105F3"/>
    <w:rsid w:val="00D114BD"/>
    <w:rsid w:val="00D11FE2"/>
    <w:rsid w:val="00D122D6"/>
    <w:rsid w:val="00D12410"/>
    <w:rsid w:val="00D1373E"/>
    <w:rsid w:val="00D13980"/>
    <w:rsid w:val="00D13CFD"/>
    <w:rsid w:val="00D1543B"/>
    <w:rsid w:val="00D165E2"/>
    <w:rsid w:val="00D17623"/>
    <w:rsid w:val="00D176D6"/>
    <w:rsid w:val="00D22580"/>
    <w:rsid w:val="00D225BC"/>
    <w:rsid w:val="00D23BF7"/>
    <w:rsid w:val="00D25A7B"/>
    <w:rsid w:val="00D2706D"/>
    <w:rsid w:val="00D270D1"/>
    <w:rsid w:val="00D3040D"/>
    <w:rsid w:val="00D309A3"/>
    <w:rsid w:val="00D318AF"/>
    <w:rsid w:val="00D319E8"/>
    <w:rsid w:val="00D31C38"/>
    <w:rsid w:val="00D31C63"/>
    <w:rsid w:val="00D31CB4"/>
    <w:rsid w:val="00D320C3"/>
    <w:rsid w:val="00D32FCF"/>
    <w:rsid w:val="00D34107"/>
    <w:rsid w:val="00D34DD4"/>
    <w:rsid w:val="00D34F39"/>
    <w:rsid w:val="00D3626B"/>
    <w:rsid w:val="00D400A5"/>
    <w:rsid w:val="00D40811"/>
    <w:rsid w:val="00D41A93"/>
    <w:rsid w:val="00D42AF6"/>
    <w:rsid w:val="00D42EC4"/>
    <w:rsid w:val="00D438B2"/>
    <w:rsid w:val="00D44D4F"/>
    <w:rsid w:val="00D45830"/>
    <w:rsid w:val="00D466C0"/>
    <w:rsid w:val="00D46E43"/>
    <w:rsid w:val="00D47310"/>
    <w:rsid w:val="00D51B55"/>
    <w:rsid w:val="00D51BA5"/>
    <w:rsid w:val="00D51CF9"/>
    <w:rsid w:val="00D51DAA"/>
    <w:rsid w:val="00D52568"/>
    <w:rsid w:val="00D525F5"/>
    <w:rsid w:val="00D528DD"/>
    <w:rsid w:val="00D53269"/>
    <w:rsid w:val="00D5558C"/>
    <w:rsid w:val="00D555C9"/>
    <w:rsid w:val="00D55A8F"/>
    <w:rsid w:val="00D55D14"/>
    <w:rsid w:val="00D55FBA"/>
    <w:rsid w:val="00D5692E"/>
    <w:rsid w:val="00D57803"/>
    <w:rsid w:val="00D60122"/>
    <w:rsid w:val="00D60169"/>
    <w:rsid w:val="00D60378"/>
    <w:rsid w:val="00D6039E"/>
    <w:rsid w:val="00D609CA"/>
    <w:rsid w:val="00D60A6E"/>
    <w:rsid w:val="00D61A23"/>
    <w:rsid w:val="00D6269A"/>
    <w:rsid w:val="00D6284B"/>
    <w:rsid w:val="00D64AE6"/>
    <w:rsid w:val="00D64B20"/>
    <w:rsid w:val="00D65237"/>
    <w:rsid w:val="00D65391"/>
    <w:rsid w:val="00D70F39"/>
    <w:rsid w:val="00D7107F"/>
    <w:rsid w:val="00D7288E"/>
    <w:rsid w:val="00D7395D"/>
    <w:rsid w:val="00D744B5"/>
    <w:rsid w:val="00D7525D"/>
    <w:rsid w:val="00D75279"/>
    <w:rsid w:val="00D7545A"/>
    <w:rsid w:val="00D76F6F"/>
    <w:rsid w:val="00D8090E"/>
    <w:rsid w:val="00D80D6D"/>
    <w:rsid w:val="00D813C8"/>
    <w:rsid w:val="00D81E25"/>
    <w:rsid w:val="00D83D47"/>
    <w:rsid w:val="00D8460E"/>
    <w:rsid w:val="00D85138"/>
    <w:rsid w:val="00D87219"/>
    <w:rsid w:val="00D8743E"/>
    <w:rsid w:val="00D879EF"/>
    <w:rsid w:val="00D903F3"/>
    <w:rsid w:val="00D90692"/>
    <w:rsid w:val="00D91130"/>
    <w:rsid w:val="00D91A6B"/>
    <w:rsid w:val="00D92BC2"/>
    <w:rsid w:val="00D932C0"/>
    <w:rsid w:val="00D933C3"/>
    <w:rsid w:val="00D93AC0"/>
    <w:rsid w:val="00D93B16"/>
    <w:rsid w:val="00D94694"/>
    <w:rsid w:val="00D959E6"/>
    <w:rsid w:val="00D95BD3"/>
    <w:rsid w:val="00D975EC"/>
    <w:rsid w:val="00D978D0"/>
    <w:rsid w:val="00DA013C"/>
    <w:rsid w:val="00DA01C6"/>
    <w:rsid w:val="00DA1A9C"/>
    <w:rsid w:val="00DA2190"/>
    <w:rsid w:val="00DA23BF"/>
    <w:rsid w:val="00DA2C53"/>
    <w:rsid w:val="00DA31E9"/>
    <w:rsid w:val="00DA3646"/>
    <w:rsid w:val="00DA3731"/>
    <w:rsid w:val="00DA3819"/>
    <w:rsid w:val="00DA4CFD"/>
    <w:rsid w:val="00DA7F49"/>
    <w:rsid w:val="00DA7FA5"/>
    <w:rsid w:val="00DB0917"/>
    <w:rsid w:val="00DB0A69"/>
    <w:rsid w:val="00DB2842"/>
    <w:rsid w:val="00DB3571"/>
    <w:rsid w:val="00DB3DE8"/>
    <w:rsid w:val="00DB4CC4"/>
    <w:rsid w:val="00DB4EA2"/>
    <w:rsid w:val="00DB508E"/>
    <w:rsid w:val="00DB6447"/>
    <w:rsid w:val="00DB79FA"/>
    <w:rsid w:val="00DC0434"/>
    <w:rsid w:val="00DC05D8"/>
    <w:rsid w:val="00DC101C"/>
    <w:rsid w:val="00DC1271"/>
    <w:rsid w:val="00DC14D2"/>
    <w:rsid w:val="00DC276D"/>
    <w:rsid w:val="00DC3B71"/>
    <w:rsid w:val="00DC4CB0"/>
    <w:rsid w:val="00DC4D0A"/>
    <w:rsid w:val="00DC52B6"/>
    <w:rsid w:val="00DC5E5F"/>
    <w:rsid w:val="00DD00E8"/>
    <w:rsid w:val="00DD06C0"/>
    <w:rsid w:val="00DD14D3"/>
    <w:rsid w:val="00DD1867"/>
    <w:rsid w:val="00DD1871"/>
    <w:rsid w:val="00DD1E17"/>
    <w:rsid w:val="00DD2915"/>
    <w:rsid w:val="00DD2A25"/>
    <w:rsid w:val="00DD38C6"/>
    <w:rsid w:val="00DD4972"/>
    <w:rsid w:val="00DD499A"/>
    <w:rsid w:val="00DD49B1"/>
    <w:rsid w:val="00DD53AC"/>
    <w:rsid w:val="00DD5AB3"/>
    <w:rsid w:val="00DD66C8"/>
    <w:rsid w:val="00DD6EE8"/>
    <w:rsid w:val="00DE0134"/>
    <w:rsid w:val="00DE0509"/>
    <w:rsid w:val="00DE077D"/>
    <w:rsid w:val="00DE0B6C"/>
    <w:rsid w:val="00DE2709"/>
    <w:rsid w:val="00DE3375"/>
    <w:rsid w:val="00DE5334"/>
    <w:rsid w:val="00DE5496"/>
    <w:rsid w:val="00DE5913"/>
    <w:rsid w:val="00DE746C"/>
    <w:rsid w:val="00DE7B65"/>
    <w:rsid w:val="00DF04A1"/>
    <w:rsid w:val="00DF1091"/>
    <w:rsid w:val="00DF16BD"/>
    <w:rsid w:val="00DF196E"/>
    <w:rsid w:val="00DF1D3E"/>
    <w:rsid w:val="00DF2268"/>
    <w:rsid w:val="00DF23EF"/>
    <w:rsid w:val="00DF2415"/>
    <w:rsid w:val="00DF2921"/>
    <w:rsid w:val="00DF4410"/>
    <w:rsid w:val="00DF5A9C"/>
    <w:rsid w:val="00DF6229"/>
    <w:rsid w:val="00DF680C"/>
    <w:rsid w:val="00DF74C6"/>
    <w:rsid w:val="00E001F3"/>
    <w:rsid w:val="00E00882"/>
    <w:rsid w:val="00E00AE0"/>
    <w:rsid w:val="00E012EF"/>
    <w:rsid w:val="00E01A6C"/>
    <w:rsid w:val="00E04B42"/>
    <w:rsid w:val="00E0509A"/>
    <w:rsid w:val="00E0623E"/>
    <w:rsid w:val="00E0626A"/>
    <w:rsid w:val="00E06410"/>
    <w:rsid w:val="00E070C5"/>
    <w:rsid w:val="00E07706"/>
    <w:rsid w:val="00E10204"/>
    <w:rsid w:val="00E10BFE"/>
    <w:rsid w:val="00E115A9"/>
    <w:rsid w:val="00E1173C"/>
    <w:rsid w:val="00E12D04"/>
    <w:rsid w:val="00E130A3"/>
    <w:rsid w:val="00E13F6A"/>
    <w:rsid w:val="00E14599"/>
    <w:rsid w:val="00E1515C"/>
    <w:rsid w:val="00E15535"/>
    <w:rsid w:val="00E159E5"/>
    <w:rsid w:val="00E16289"/>
    <w:rsid w:val="00E17C08"/>
    <w:rsid w:val="00E20031"/>
    <w:rsid w:val="00E20140"/>
    <w:rsid w:val="00E20429"/>
    <w:rsid w:val="00E20C00"/>
    <w:rsid w:val="00E21B0A"/>
    <w:rsid w:val="00E22FA9"/>
    <w:rsid w:val="00E23062"/>
    <w:rsid w:val="00E231D7"/>
    <w:rsid w:val="00E25A93"/>
    <w:rsid w:val="00E25DF6"/>
    <w:rsid w:val="00E26B7C"/>
    <w:rsid w:val="00E27DAA"/>
    <w:rsid w:val="00E27F9E"/>
    <w:rsid w:val="00E30400"/>
    <w:rsid w:val="00E306D4"/>
    <w:rsid w:val="00E31955"/>
    <w:rsid w:val="00E32B7E"/>
    <w:rsid w:val="00E3343C"/>
    <w:rsid w:val="00E34747"/>
    <w:rsid w:val="00E36295"/>
    <w:rsid w:val="00E36648"/>
    <w:rsid w:val="00E36A61"/>
    <w:rsid w:val="00E36B4D"/>
    <w:rsid w:val="00E371CD"/>
    <w:rsid w:val="00E373DC"/>
    <w:rsid w:val="00E4077F"/>
    <w:rsid w:val="00E407F9"/>
    <w:rsid w:val="00E4120F"/>
    <w:rsid w:val="00E41C14"/>
    <w:rsid w:val="00E4268C"/>
    <w:rsid w:val="00E431AF"/>
    <w:rsid w:val="00E43508"/>
    <w:rsid w:val="00E43F33"/>
    <w:rsid w:val="00E4419C"/>
    <w:rsid w:val="00E45C81"/>
    <w:rsid w:val="00E46747"/>
    <w:rsid w:val="00E46FAB"/>
    <w:rsid w:val="00E501EA"/>
    <w:rsid w:val="00E50DB5"/>
    <w:rsid w:val="00E50EF1"/>
    <w:rsid w:val="00E516A3"/>
    <w:rsid w:val="00E5278E"/>
    <w:rsid w:val="00E540B3"/>
    <w:rsid w:val="00E558A0"/>
    <w:rsid w:val="00E61E39"/>
    <w:rsid w:val="00E62FD9"/>
    <w:rsid w:val="00E634C4"/>
    <w:rsid w:val="00E6400C"/>
    <w:rsid w:val="00E6410F"/>
    <w:rsid w:val="00E66650"/>
    <w:rsid w:val="00E66777"/>
    <w:rsid w:val="00E6739B"/>
    <w:rsid w:val="00E67E44"/>
    <w:rsid w:val="00E70384"/>
    <w:rsid w:val="00E70EED"/>
    <w:rsid w:val="00E70EEE"/>
    <w:rsid w:val="00E70FC9"/>
    <w:rsid w:val="00E71B55"/>
    <w:rsid w:val="00E72832"/>
    <w:rsid w:val="00E74342"/>
    <w:rsid w:val="00E77523"/>
    <w:rsid w:val="00E80C36"/>
    <w:rsid w:val="00E824B8"/>
    <w:rsid w:val="00E82600"/>
    <w:rsid w:val="00E83165"/>
    <w:rsid w:val="00E83A3C"/>
    <w:rsid w:val="00E8428C"/>
    <w:rsid w:val="00E8429C"/>
    <w:rsid w:val="00E8463A"/>
    <w:rsid w:val="00E8508E"/>
    <w:rsid w:val="00E857DF"/>
    <w:rsid w:val="00E863CD"/>
    <w:rsid w:val="00E86762"/>
    <w:rsid w:val="00E87A17"/>
    <w:rsid w:val="00E90919"/>
    <w:rsid w:val="00E90E09"/>
    <w:rsid w:val="00E91022"/>
    <w:rsid w:val="00E9156D"/>
    <w:rsid w:val="00E9174C"/>
    <w:rsid w:val="00E91E05"/>
    <w:rsid w:val="00E9476C"/>
    <w:rsid w:val="00E94D36"/>
    <w:rsid w:val="00E9619A"/>
    <w:rsid w:val="00E9674D"/>
    <w:rsid w:val="00E96FBC"/>
    <w:rsid w:val="00EA0E90"/>
    <w:rsid w:val="00EA2107"/>
    <w:rsid w:val="00EA21EC"/>
    <w:rsid w:val="00EA3006"/>
    <w:rsid w:val="00EA321D"/>
    <w:rsid w:val="00EA32AE"/>
    <w:rsid w:val="00EA3607"/>
    <w:rsid w:val="00EA4238"/>
    <w:rsid w:val="00EA49F7"/>
    <w:rsid w:val="00EA5B33"/>
    <w:rsid w:val="00EA6831"/>
    <w:rsid w:val="00EA721B"/>
    <w:rsid w:val="00EA7E56"/>
    <w:rsid w:val="00EB046A"/>
    <w:rsid w:val="00EB0D73"/>
    <w:rsid w:val="00EB2198"/>
    <w:rsid w:val="00EB2EC7"/>
    <w:rsid w:val="00EB3C96"/>
    <w:rsid w:val="00EB447F"/>
    <w:rsid w:val="00EB48BB"/>
    <w:rsid w:val="00EB5682"/>
    <w:rsid w:val="00EB5D77"/>
    <w:rsid w:val="00EB5ECF"/>
    <w:rsid w:val="00EB61DD"/>
    <w:rsid w:val="00EB6E99"/>
    <w:rsid w:val="00EB70C6"/>
    <w:rsid w:val="00EB7AF0"/>
    <w:rsid w:val="00EB7D0D"/>
    <w:rsid w:val="00EC1005"/>
    <w:rsid w:val="00EC12B4"/>
    <w:rsid w:val="00EC3183"/>
    <w:rsid w:val="00EC39B8"/>
    <w:rsid w:val="00EC3E19"/>
    <w:rsid w:val="00EC4239"/>
    <w:rsid w:val="00EC4740"/>
    <w:rsid w:val="00EC57E9"/>
    <w:rsid w:val="00EC71C7"/>
    <w:rsid w:val="00EC7B5B"/>
    <w:rsid w:val="00EC7D5C"/>
    <w:rsid w:val="00EC7FA4"/>
    <w:rsid w:val="00ED276B"/>
    <w:rsid w:val="00ED3D5F"/>
    <w:rsid w:val="00ED474E"/>
    <w:rsid w:val="00ED4AC8"/>
    <w:rsid w:val="00ED5438"/>
    <w:rsid w:val="00ED5778"/>
    <w:rsid w:val="00ED5F29"/>
    <w:rsid w:val="00ED72D5"/>
    <w:rsid w:val="00ED7DF7"/>
    <w:rsid w:val="00EE001E"/>
    <w:rsid w:val="00EE0258"/>
    <w:rsid w:val="00EE03A5"/>
    <w:rsid w:val="00EE03F8"/>
    <w:rsid w:val="00EE0A5E"/>
    <w:rsid w:val="00EE2C7C"/>
    <w:rsid w:val="00EE35DF"/>
    <w:rsid w:val="00EE419D"/>
    <w:rsid w:val="00EE46A4"/>
    <w:rsid w:val="00EE61CB"/>
    <w:rsid w:val="00EE65D0"/>
    <w:rsid w:val="00EE679B"/>
    <w:rsid w:val="00EE7A2A"/>
    <w:rsid w:val="00EF0602"/>
    <w:rsid w:val="00EF1564"/>
    <w:rsid w:val="00EF1C90"/>
    <w:rsid w:val="00EF2903"/>
    <w:rsid w:val="00EF34A9"/>
    <w:rsid w:val="00EF3733"/>
    <w:rsid w:val="00EF3BFE"/>
    <w:rsid w:val="00EF3F03"/>
    <w:rsid w:val="00EF58ED"/>
    <w:rsid w:val="00F00945"/>
    <w:rsid w:val="00F01797"/>
    <w:rsid w:val="00F01ABC"/>
    <w:rsid w:val="00F01DF2"/>
    <w:rsid w:val="00F025EB"/>
    <w:rsid w:val="00F02ED6"/>
    <w:rsid w:val="00F0405A"/>
    <w:rsid w:val="00F0411D"/>
    <w:rsid w:val="00F043CE"/>
    <w:rsid w:val="00F04A7B"/>
    <w:rsid w:val="00F05110"/>
    <w:rsid w:val="00F051D5"/>
    <w:rsid w:val="00F05371"/>
    <w:rsid w:val="00F065B9"/>
    <w:rsid w:val="00F078D5"/>
    <w:rsid w:val="00F07AB5"/>
    <w:rsid w:val="00F12042"/>
    <w:rsid w:val="00F1235C"/>
    <w:rsid w:val="00F126CE"/>
    <w:rsid w:val="00F130B7"/>
    <w:rsid w:val="00F130D2"/>
    <w:rsid w:val="00F140F9"/>
    <w:rsid w:val="00F1486D"/>
    <w:rsid w:val="00F15F9A"/>
    <w:rsid w:val="00F16288"/>
    <w:rsid w:val="00F1759C"/>
    <w:rsid w:val="00F20799"/>
    <w:rsid w:val="00F20973"/>
    <w:rsid w:val="00F20D53"/>
    <w:rsid w:val="00F21D8A"/>
    <w:rsid w:val="00F23732"/>
    <w:rsid w:val="00F23812"/>
    <w:rsid w:val="00F2432C"/>
    <w:rsid w:val="00F253FD"/>
    <w:rsid w:val="00F25FB5"/>
    <w:rsid w:val="00F26022"/>
    <w:rsid w:val="00F319A6"/>
    <w:rsid w:val="00F323FB"/>
    <w:rsid w:val="00F3250F"/>
    <w:rsid w:val="00F32A56"/>
    <w:rsid w:val="00F32D23"/>
    <w:rsid w:val="00F32F03"/>
    <w:rsid w:val="00F32F57"/>
    <w:rsid w:val="00F330DD"/>
    <w:rsid w:val="00F33A84"/>
    <w:rsid w:val="00F34147"/>
    <w:rsid w:val="00F344B3"/>
    <w:rsid w:val="00F34563"/>
    <w:rsid w:val="00F3554C"/>
    <w:rsid w:val="00F40C82"/>
    <w:rsid w:val="00F40E4F"/>
    <w:rsid w:val="00F41AFA"/>
    <w:rsid w:val="00F42503"/>
    <w:rsid w:val="00F43055"/>
    <w:rsid w:val="00F43244"/>
    <w:rsid w:val="00F44A95"/>
    <w:rsid w:val="00F44F66"/>
    <w:rsid w:val="00F453DD"/>
    <w:rsid w:val="00F4569C"/>
    <w:rsid w:val="00F46E60"/>
    <w:rsid w:val="00F47513"/>
    <w:rsid w:val="00F50724"/>
    <w:rsid w:val="00F50C99"/>
    <w:rsid w:val="00F54E67"/>
    <w:rsid w:val="00F55E20"/>
    <w:rsid w:val="00F56060"/>
    <w:rsid w:val="00F5645F"/>
    <w:rsid w:val="00F60DCD"/>
    <w:rsid w:val="00F60E4C"/>
    <w:rsid w:val="00F617CC"/>
    <w:rsid w:val="00F61D48"/>
    <w:rsid w:val="00F6200C"/>
    <w:rsid w:val="00F62C14"/>
    <w:rsid w:val="00F632F7"/>
    <w:rsid w:val="00F63927"/>
    <w:rsid w:val="00F641E7"/>
    <w:rsid w:val="00F64E1D"/>
    <w:rsid w:val="00F655F1"/>
    <w:rsid w:val="00F65CE5"/>
    <w:rsid w:val="00F70E21"/>
    <w:rsid w:val="00F71740"/>
    <w:rsid w:val="00F71C4D"/>
    <w:rsid w:val="00F72135"/>
    <w:rsid w:val="00F72DA1"/>
    <w:rsid w:val="00F73FF3"/>
    <w:rsid w:val="00F747F8"/>
    <w:rsid w:val="00F754BF"/>
    <w:rsid w:val="00F75A0A"/>
    <w:rsid w:val="00F75C92"/>
    <w:rsid w:val="00F769C9"/>
    <w:rsid w:val="00F769CC"/>
    <w:rsid w:val="00F80324"/>
    <w:rsid w:val="00F8037A"/>
    <w:rsid w:val="00F8114D"/>
    <w:rsid w:val="00F831FE"/>
    <w:rsid w:val="00F83FDE"/>
    <w:rsid w:val="00F841FB"/>
    <w:rsid w:val="00F85B03"/>
    <w:rsid w:val="00F86B0B"/>
    <w:rsid w:val="00F8790C"/>
    <w:rsid w:val="00F87DED"/>
    <w:rsid w:val="00F9012B"/>
    <w:rsid w:val="00F9148A"/>
    <w:rsid w:val="00F91D4F"/>
    <w:rsid w:val="00F91DFB"/>
    <w:rsid w:val="00F9426E"/>
    <w:rsid w:val="00F94CBD"/>
    <w:rsid w:val="00F952C7"/>
    <w:rsid w:val="00F95B54"/>
    <w:rsid w:val="00F9615C"/>
    <w:rsid w:val="00F96F0A"/>
    <w:rsid w:val="00F96F13"/>
    <w:rsid w:val="00F97A15"/>
    <w:rsid w:val="00FA10F8"/>
    <w:rsid w:val="00FA2CFC"/>
    <w:rsid w:val="00FA3A56"/>
    <w:rsid w:val="00FA3B07"/>
    <w:rsid w:val="00FA462A"/>
    <w:rsid w:val="00FA60BA"/>
    <w:rsid w:val="00FA688C"/>
    <w:rsid w:val="00FA78D1"/>
    <w:rsid w:val="00FB033A"/>
    <w:rsid w:val="00FB2316"/>
    <w:rsid w:val="00FB2721"/>
    <w:rsid w:val="00FB316E"/>
    <w:rsid w:val="00FB4D7F"/>
    <w:rsid w:val="00FB53DA"/>
    <w:rsid w:val="00FB54FE"/>
    <w:rsid w:val="00FB71B7"/>
    <w:rsid w:val="00FB736A"/>
    <w:rsid w:val="00FB7E59"/>
    <w:rsid w:val="00FC08BE"/>
    <w:rsid w:val="00FC183E"/>
    <w:rsid w:val="00FC46B2"/>
    <w:rsid w:val="00FC591F"/>
    <w:rsid w:val="00FD0B21"/>
    <w:rsid w:val="00FD490C"/>
    <w:rsid w:val="00FD500A"/>
    <w:rsid w:val="00FD52D1"/>
    <w:rsid w:val="00FD65C5"/>
    <w:rsid w:val="00FD6F0B"/>
    <w:rsid w:val="00FD7B26"/>
    <w:rsid w:val="00FD7EC7"/>
    <w:rsid w:val="00FE0217"/>
    <w:rsid w:val="00FE12FC"/>
    <w:rsid w:val="00FE15FF"/>
    <w:rsid w:val="00FE1C12"/>
    <w:rsid w:val="00FE1D9E"/>
    <w:rsid w:val="00FE1F47"/>
    <w:rsid w:val="00FE1FE2"/>
    <w:rsid w:val="00FE2426"/>
    <w:rsid w:val="00FE26B2"/>
    <w:rsid w:val="00FE2D79"/>
    <w:rsid w:val="00FE5642"/>
    <w:rsid w:val="00FE755D"/>
    <w:rsid w:val="00FF313A"/>
    <w:rsid w:val="00FF3631"/>
    <w:rsid w:val="00FF43FC"/>
    <w:rsid w:val="00FF56A7"/>
    <w:rsid w:val="00FF61B9"/>
    <w:rsid w:val="00FF7031"/>
    <w:rsid w:val="00FF73F7"/>
    <w:rsid w:val="00FF7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8D1"/>
    <w:pPr>
      <w:spacing w:after="0"/>
    </w:pPr>
    <w:rPr>
      <w:rFonts w:ascii="Cambria" w:hAnsi="Cambria"/>
      <w:sz w:val="24"/>
    </w:rPr>
  </w:style>
  <w:style w:type="paragraph" w:styleId="Heading1">
    <w:name w:val="heading 1"/>
    <w:basedOn w:val="Normal"/>
    <w:next w:val="Text"/>
    <w:link w:val="Heading1Char"/>
    <w:uiPriority w:val="9"/>
    <w:qFormat/>
    <w:rsid w:val="00F20D53"/>
    <w:pPr>
      <w:keepNext/>
      <w:keepLines/>
      <w:spacing w:before="240" w:after="480"/>
      <w:outlineLvl w:val="0"/>
    </w:pPr>
    <w:rPr>
      <w:rFonts w:eastAsiaTheme="majorEastAsia" w:cstheme="majorBidi"/>
      <w:bCs/>
      <w:caps/>
      <w:color w:val="175F6E"/>
      <w:sz w:val="45"/>
      <w:szCs w:val="28"/>
    </w:rPr>
  </w:style>
  <w:style w:type="paragraph" w:styleId="Heading2">
    <w:name w:val="heading 2"/>
    <w:basedOn w:val="Heading1"/>
    <w:next w:val="Text"/>
    <w:link w:val="Heading2Char"/>
    <w:uiPriority w:val="9"/>
    <w:unhideWhenUsed/>
    <w:qFormat/>
    <w:rsid w:val="00664CE5"/>
    <w:pPr>
      <w:numPr>
        <w:numId w:val="1"/>
      </w:numPr>
      <w:spacing w:before="200" w:after="360"/>
      <w:outlineLvl w:val="1"/>
    </w:pPr>
    <w:rPr>
      <w:rFonts w:eastAsia="Lucida Sans Unicode"/>
      <w:bCs w:val="0"/>
      <w:color w:val="00505E"/>
      <w:szCs w:val="45"/>
    </w:rPr>
  </w:style>
  <w:style w:type="paragraph" w:styleId="Heading3">
    <w:name w:val="heading 3"/>
    <w:basedOn w:val="Heading2"/>
    <w:next w:val="Text"/>
    <w:link w:val="Heading3Char"/>
    <w:uiPriority w:val="9"/>
    <w:unhideWhenUsed/>
    <w:qFormat/>
    <w:rsid w:val="005058B5"/>
    <w:pPr>
      <w:numPr>
        <w:ilvl w:val="1"/>
      </w:numPr>
      <w:tabs>
        <w:tab w:val="left" w:pos="907"/>
        <w:tab w:val="left" w:pos="1134"/>
        <w:tab w:val="left" w:pos="1361"/>
      </w:tabs>
      <w:spacing w:after="240"/>
      <w:outlineLvl w:val="2"/>
    </w:pPr>
    <w:rPr>
      <w:bCs/>
      <w:caps w:val="0"/>
      <w:sz w:val="26"/>
      <w:szCs w:val="26"/>
    </w:rPr>
  </w:style>
  <w:style w:type="paragraph" w:styleId="Heading4">
    <w:name w:val="heading 4"/>
    <w:basedOn w:val="Heading3"/>
    <w:next w:val="Text"/>
    <w:link w:val="Heading4Char"/>
    <w:uiPriority w:val="9"/>
    <w:unhideWhenUsed/>
    <w:qFormat/>
    <w:rsid w:val="005058B5"/>
    <w:pPr>
      <w:numPr>
        <w:ilvl w:val="2"/>
      </w:numPr>
      <w:outlineLvl w:val="3"/>
    </w:pPr>
  </w:style>
  <w:style w:type="paragraph" w:styleId="Heading5">
    <w:name w:val="heading 5"/>
    <w:basedOn w:val="Heading4"/>
    <w:next w:val="Text"/>
    <w:link w:val="Heading5Char"/>
    <w:uiPriority w:val="9"/>
    <w:unhideWhenUsed/>
    <w:qFormat/>
    <w:rsid w:val="008F5D04"/>
    <w:pPr>
      <w:numPr>
        <w:ilvl w:val="3"/>
      </w:numPr>
      <w:spacing w:after="120"/>
      <w:outlineLvl w:val="4"/>
    </w:pPr>
    <w:rPr>
      <w:rFonts w:eastAsiaTheme="majorEastAsia"/>
      <w:sz w:val="24"/>
    </w:rPr>
  </w:style>
  <w:style w:type="paragraph" w:styleId="Heading6">
    <w:name w:val="heading 6"/>
    <w:basedOn w:val="Normal"/>
    <w:next w:val="Text"/>
    <w:link w:val="Heading6Char"/>
    <w:uiPriority w:val="9"/>
    <w:unhideWhenUsed/>
    <w:qFormat/>
    <w:rsid w:val="00F20D53"/>
    <w:pPr>
      <w:outlineLvl w:val="5"/>
    </w:pPr>
    <w:rPr>
      <w:rFonts w:eastAsiaTheme="majorEastAsia" w:cstheme="majorBidi"/>
      <w:bCs/>
      <w:color w:val="00505E"/>
      <w:szCs w:val="26"/>
    </w:rPr>
  </w:style>
  <w:style w:type="paragraph" w:styleId="Heading7">
    <w:name w:val="heading 7"/>
    <w:basedOn w:val="Text"/>
    <w:next w:val="Text"/>
    <w:link w:val="Heading7Char"/>
    <w:uiPriority w:val="9"/>
    <w:unhideWhenUsed/>
    <w:qFormat/>
    <w:rsid w:val="00F20D53"/>
    <w:pPr>
      <w:spacing w:before="120" w:after="120"/>
      <w:outlineLvl w:val="6"/>
    </w:pPr>
    <w:rPr>
      <w:rFonts w:eastAsiaTheme="majorEastAsia" w:cstheme="majorBidi"/>
      <w:b/>
      <w:iCs/>
      <w:sz w:val="20"/>
    </w:rPr>
  </w:style>
  <w:style w:type="paragraph" w:styleId="Heading8">
    <w:name w:val="heading 8"/>
    <w:basedOn w:val="Normal"/>
    <w:next w:val="Normal"/>
    <w:link w:val="Heading8Char"/>
    <w:uiPriority w:val="9"/>
    <w:unhideWhenUsed/>
    <w:qFormat/>
    <w:rsid w:val="00F20D53"/>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20D53"/>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0D53"/>
    <w:pPr>
      <w:spacing w:after="0"/>
    </w:pPr>
    <w:rPr>
      <w:rFonts w:ascii="Cambria" w:hAnsi="Cambria"/>
      <w:lang w:val="en-US" w:eastAsia="ja-JP"/>
    </w:rPr>
  </w:style>
  <w:style w:type="character" w:customStyle="1" w:styleId="NoSpacingChar">
    <w:name w:val="No Spacing Char"/>
    <w:basedOn w:val="DefaultParagraphFont"/>
    <w:link w:val="NoSpacing"/>
    <w:uiPriority w:val="1"/>
    <w:rsid w:val="00F20D53"/>
    <w:rPr>
      <w:rFonts w:ascii="Cambria" w:hAnsi="Cambria"/>
      <w:lang w:val="en-US" w:eastAsia="ja-JP"/>
    </w:rPr>
  </w:style>
  <w:style w:type="paragraph" w:styleId="BalloonText">
    <w:name w:val="Balloon Text"/>
    <w:basedOn w:val="Normal"/>
    <w:link w:val="BalloonTextChar"/>
    <w:uiPriority w:val="99"/>
    <w:semiHidden/>
    <w:unhideWhenUsed/>
    <w:rsid w:val="00CC0457"/>
    <w:rPr>
      <w:rFonts w:ascii="Tahoma" w:hAnsi="Tahoma" w:cs="Tahoma"/>
      <w:sz w:val="16"/>
      <w:szCs w:val="16"/>
    </w:rPr>
  </w:style>
  <w:style w:type="character" w:customStyle="1" w:styleId="BalloonTextChar">
    <w:name w:val="Balloon Text Char"/>
    <w:basedOn w:val="DefaultParagraphFont"/>
    <w:link w:val="BalloonText"/>
    <w:uiPriority w:val="99"/>
    <w:semiHidden/>
    <w:rsid w:val="00CC0457"/>
    <w:rPr>
      <w:rFonts w:ascii="Tahoma" w:hAnsi="Tahoma" w:cs="Tahoma"/>
      <w:sz w:val="16"/>
      <w:szCs w:val="16"/>
    </w:rPr>
  </w:style>
  <w:style w:type="paragraph" w:styleId="Header">
    <w:name w:val="header"/>
    <w:basedOn w:val="Normal"/>
    <w:link w:val="HeaderChar"/>
    <w:uiPriority w:val="99"/>
    <w:unhideWhenUsed/>
    <w:rsid w:val="00CC0457"/>
    <w:pPr>
      <w:tabs>
        <w:tab w:val="center" w:pos="4819"/>
        <w:tab w:val="right" w:pos="9638"/>
      </w:tabs>
    </w:pPr>
  </w:style>
  <w:style w:type="character" w:customStyle="1" w:styleId="HeaderChar">
    <w:name w:val="Header Char"/>
    <w:basedOn w:val="DefaultParagraphFont"/>
    <w:link w:val="Header"/>
    <w:uiPriority w:val="99"/>
    <w:rsid w:val="00CC0457"/>
  </w:style>
  <w:style w:type="paragraph" w:styleId="Footer">
    <w:name w:val="footer"/>
    <w:basedOn w:val="Normal"/>
    <w:link w:val="FooterChar"/>
    <w:uiPriority w:val="99"/>
    <w:unhideWhenUsed/>
    <w:rsid w:val="00CC0457"/>
    <w:pPr>
      <w:tabs>
        <w:tab w:val="center" w:pos="4819"/>
        <w:tab w:val="right" w:pos="9638"/>
      </w:tabs>
    </w:pPr>
  </w:style>
  <w:style w:type="character" w:customStyle="1" w:styleId="FooterChar">
    <w:name w:val="Footer Char"/>
    <w:basedOn w:val="DefaultParagraphFont"/>
    <w:link w:val="Footer"/>
    <w:uiPriority w:val="99"/>
    <w:rsid w:val="00CC0457"/>
  </w:style>
  <w:style w:type="character" w:styleId="PlaceholderText">
    <w:name w:val="Placeholder Text"/>
    <w:basedOn w:val="DefaultParagraphFont"/>
    <w:uiPriority w:val="99"/>
    <w:semiHidden/>
    <w:rsid w:val="00D47310"/>
    <w:rPr>
      <w:color w:val="808080"/>
    </w:rPr>
  </w:style>
  <w:style w:type="character" w:customStyle="1" w:styleId="Heading1Char">
    <w:name w:val="Heading 1 Char"/>
    <w:basedOn w:val="DefaultParagraphFont"/>
    <w:link w:val="Heading1"/>
    <w:uiPriority w:val="9"/>
    <w:rsid w:val="00F20D53"/>
    <w:rPr>
      <w:rFonts w:ascii="Cambria" w:eastAsiaTheme="majorEastAsia" w:hAnsi="Cambria" w:cstheme="majorBidi"/>
      <w:bCs/>
      <w:caps/>
      <w:color w:val="175F6E"/>
      <w:sz w:val="45"/>
      <w:szCs w:val="28"/>
    </w:rPr>
  </w:style>
  <w:style w:type="character" w:customStyle="1" w:styleId="Heading2Char">
    <w:name w:val="Heading 2 Char"/>
    <w:basedOn w:val="DefaultParagraphFont"/>
    <w:link w:val="Heading2"/>
    <w:uiPriority w:val="9"/>
    <w:rsid w:val="00664CE5"/>
    <w:rPr>
      <w:rFonts w:ascii="Cambria" w:eastAsia="Lucida Sans Unicode" w:hAnsi="Cambria" w:cstheme="majorBidi"/>
      <w:caps/>
      <w:color w:val="00505E"/>
      <w:sz w:val="45"/>
      <w:szCs w:val="45"/>
    </w:rPr>
  </w:style>
  <w:style w:type="character" w:customStyle="1" w:styleId="Heading3Char">
    <w:name w:val="Heading 3 Char"/>
    <w:basedOn w:val="DefaultParagraphFont"/>
    <w:link w:val="Heading3"/>
    <w:uiPriority w:val="9"/>
    <w:rsid w:val="005058B5"/>
    <w:rPr>
      <w:rFonts w:ascii="Cambria" w:eastAsia="Lucida Sans Unicode" w:hAnsi="Cambria" w:cstheme="majorBidi"/>
      <w:bCs/>
      <w:color w:val="00505E"/>
      <w:sz w:val="26"/>
      <w:szCs w:val="26"/>
    </w:rPr>
  </w:style>
  <w:style w:type="paragraph" w:styleId="Subtitle">
    <w:name w:val="Subtitle"/>
    <w:basedOn w:val="Normal"/>
    <w:next w:val="Normal"/>
    <w:link w:val="SubtitleChar"/>
    <w:uiPriority w:val="11"/>
    <w:qFormat/>
    <w:rsid w:val="00F20D53"/>
    <w:pPr>
      <w:numPr>
        <w:ilvl w:val="1"/>
      </w:numPr>
    </w:pPr>
    <w:rPr>
      <w:rFonts w:eastAsiaTheme="majorEastAsia" w:cstheme="majorBidi"/>
      <w:iCs/>
      <w:caps/>
      <w:color w:val="175F6E"/>
      <w:spacing w:val="15"/>
      <w:sz w:val="45"/>
      <w:szCs w:val="24"/>
    </w:rPr>
  </w:style>
  <w:style w:type="character" w:customStyle="1" w:styleId="SubtitleChar">
    <w:name w:val="Subtitle Char"/>
    <w:basedOn w:val="DefaultParagraphFont"/>
    <w:link w:val="Subtitle"/>
    <w:uiPriority w:val="11"/>
    <w:rsid w:val="00F20D53"/>
    <w:rPr>
      <w:rFonts w:ascii="Cambria" w:eastAsiaTheme="majorEastAsia" w:hAnsi="Cambria" w:cstheme="majorBidi"/>
      <w:iCs/>
      <w:caps/>
      <w:color w:val="175F6E"/>
      <w:spacing w:val="15"/>
      <w:sz w:val="45"/>
      <w:szCs w:val="24"/>
    </w:rPr>
  </w:style>
  <w:style w:type="paragraph" w:customStyle="1" w:styleId="Subtitlewhite">
    <w:name w:val="Subtitle white"/>
    <w:basedOn w:val="Subtitle"/>
    <w:link w:val="SubtitlewhiteChar"/>
    <w:qFormat/>
    <w:rsid w:val="00F20D53"/>
    <w:rPr>
      <w:color w:val="FFFFFF" w:themeColor="background1"/>
      <w:sz w:val="52"/>
    </w:rPr>
  </w:style>
  <w:style w:type="paragraph" w:styleId="Title">
    <w:name w:val="Title"/>
    <w:basedOn w:val="Normal"/>
    <w:next w:val="Normal"/>
    <w:link w:val="TitleChar"/>
    <w:uiPriority w:val="10"/>
    <w:qFormat/>
    <w:rsid w:val="00F20D53"/>
    <w:pPr>
      <w:contextualSpacing/>
    </w:pPr>
    <w:rPr>
      <w:rFonts w:eastAsiaTheme="majorEastAsia" w:cstheme="majorBidi"/>
      <w:caps/>
      <w:color w:val="175F6E"/>
      <w:spacing w:val="15"/>
      <w:kern w:val="28"/>
      <w:sz w:val="52"/>
      <w:szCs w:val="52"/>
    </w:rPr>
  </w:style>
  <w:style w:type="character" w:customStyle="1" w:styleId="SubtitlewhiteChar">
    <w:name w:val="Subtitle white Char"/>
    <w:basedOn w:val="SubtitleChar"/>
    <w:link w:val="Subtitlewhite"/>
    <w:rsid w:val="00F20D53"/>
    <w:rPr>
      <w:rFonts w:ascii="Cambria" w:eastAsiaTheme="majorEastAsia" w:hAnsi="Cambria" w:cstheme="majorBidi"/>
      <w:iCs/>
      <w:caps/>
      <w:color w:val="FFFFFF" w:themeColor="background1"/>
      <w:spacing w:val="15"/>
      <w:sz w:val="52"/>
      <w:szCs w:val="24"/>
    </w:rPr>
  </w:style>
  <w:style w:type="character" w:customStyle="1" w:styleId="TitleChar">
    <w:name w:val="Title Char"/>
    <w:basedOn w:val="DefaultParagraphFont"/>
    <w:link w:val="Title"/>
    <w:uiPriority w:val="10"/>
    <w:rsid w:val="00F20D53"/>
    <w:rPr>
      <w:rFonts w:ascii="Cambria" w:eastAsiaTheme="majorEastAsia" w:hAnsi="Cambria" w:cstheme="majorBidi"/>
      <w:caps/>
      <w:color w:val="175F6E"/>
      <w:spacing w:val="15"/>
      <w:kern w:val="28"/>
      <w:sz w:val="52"/>
      <w:szCs w:val="52"/>
    </w:rPr>
  </w:style>
  <w:style w:type="paragraph" w:styleId="ListParagraph">
    <w:name w:val="List Paragraph"/>
    <w:basedOn w:val="Normal"/>
    <w:link w:val="ListParagraphChar"/>
    <w:uiPriority w:val="34"/>
    <w:qFormat/>
    <w:rsid w:val="00F20D53"/>
    <w:pPr>
      <w:contextualSpacing/>
    </w:pPr>
  </w:style>
  <w:style w:type="paragraph" w:customStyle="1" w:styleId="Text">
    <w:name w:val="Text"/>
    <w:basedOn w:val="Normal"/>
    <w:link w:val="TextChar"/>
    <w:qFormat/>
    <w:rsid w:val="00BF31CD"/>
    <w:pPr>
      <w:tabs>
        <w:tab w:val="left" w:pos="9600"/>
      </w:tabs>
      <w:spacing w:after="240"/>
      <w:ind w:left="505" w:right="74"/>
      <w:jc w:val="both"/>
    </w:pPr>
    <w:rPr>
      <w:noProof/>
    </w:rPr>
  </w:style>
  <w:style w:type="paragraph" w:customStyle="1" w:styleId="HeaderText">
    <w:name w:val="Header Text"/>
    <w:basedOn w:val="Header"/>
    <w:link w:val="HeaderTextChar"/>
    <w:qFormat/>
    <w:rsid w:val="001E11A2"/>
    <w:pPr>
      <w:tabs>
        <w:tab w:val="clear" w:pos="4819"/>
        <w:tab w:val="clear" w:pos="9638"/>
        <w:tab w:val="right" w:pos="10086"/>
      </w:tabs>
    </w:pPr>
    <w:rPr>
      <w:bCs/>
      <w:caps/>
      <w:color w:val="9A9A9A" w:themeColor="text2"/>
      <w:sz w:val="16"/>
      <w:szCs w:val="28"/>
    </w:rPr>
  </w:style>
  <w:style w:type="character" w:customStyle="1" w:styleId="TextChar">
    <w:name w:val="Text Char"/>
    <w:basedOn w:val="DefaultParagraphFont"/>
    <w:link w:val="Text"/>
    <w:rsid w:val="00BF31CD"/>
    <w:rPr>
      <w:noProof/>
      <w:sz w:val="24"/>
    </w:rPr>
  </w:style>
  <w:style w:type="paragraph" w:customStyle="1" w:styleId="TextWhite">
    <w:name w:val="Text White"/>
    <w:basedOn w:val="Text"/>
    <w:link w:val="TextWhiteChar"/>
    <w:qFormat/>
    <w:rsid w:val="00F20D53"/>
    <w:pPr>
      <w:ind w:left="0"/>
    </w:pPr>
    <w:rPr>
      <w:color w:val="FFFFFF" w:themeColor="background1"/>
      <w:sz w:val="32"/>
    </w:rPr>
  </w:style>
  <w:style w:type="character" w:customStyle="1" w:styleId="HeaderTextChar">
    <w:name w:val="Header Text Char"/>
    <w:basedOn w:val="HeaderChar"/>
    <w:link w:val="HeaderText"/>
    <w:rsid w:val="001E11A2"/>
    <w:rPr>
      <w:bCs/>
      <w:caps/>
      <w:color w:val="9A9A9A" w:themeColor="text2"/>
      <w:sz w:val="16"/>
      <w:szCs w:val="28"/>
    </w:rPr>
  </w:style>
  <w:style w:type="paragraph" w:customStyle="1" w:styleId="TextWhiteUP">
    <w:name w:val="Text White UP"/>
    <w:basedOn w:val="Normal"/>
    <w:link w:val="TextWhiteUPChar"/>
    <w:autoRedefine/>
    <w:qFormat/>
    <w:rsid w:val="00F20D53"/>
    <w:rPr>
      <w:caps/>
      <w:color w:val="FFFFFF" w:themeColor="background1"/>
      <w:sz w:val="32"/>
    </w:rPr>
  </w:style>
  <w:style w:type="character" w:customStyle="1" w:styleId="TextWhiteChar">
    <w:name w:val="Text White Char"/>
    <w:basedOn w:val="DefaultParagraphFont"/>
    <w:link w:val="TextWhite"/>
    <w:rsid w:val="00F20D53"/>
    <w:rPr>
      <w:rFonts w:ascii="Cambria" w:hAnsi="Cambria"/>
      <w:noProof/>
      <w:color w:val="FFFFFF" w:themeColor="background1"/>
      <w:sz w:val="32"/>
    </w:rPr>
  </w:style>
  <w:style w:type="character" w:customStyle="1" w:styleId="TextWhiteUPChar">
    <w:name w:val="Text White UP Char"/>
    <w:basedOn w:val="TextWhiteChar"/>
    <w:link w:val="TextWhiteUP"/>
    <w:rsid w:val="00F20D53"/>
    <w:rPr>
      <w:rFonts w:ascii="Cambria" w:hAnsi="Cambria"/>
      <w:caps/>
      <w:noProof/>
      <w:color w:val="FFFFFF" w:themeColor="background1"/>
      <w:sz w:val="32"/>
    </w:rPr>
  </w:style>
  <w:style w:type="paragraph" w:styleId="TOCHeading">
    <w:name w:val="TOC Heading"/>
    <w:basedOn w:val="Heading1"/>
    <w:next w:val="Normal"/>
    <w:uiPriority w:val="39"/>
    <w:unhideWhenUsed/>
    <w:qFormat/>
    <w:rsid w:val="00C349B6"/>
    <w:pPr>
      <w:spacing w:before="360"/>
      <w:outlineLvl w:val="9"/>
    </w:pPr>
    <w:rPr>
      <w:color w:val="00505E"/>
      <w:lang w:val="en-US" w:eastAsia="ja-JP"/>
    </w:rPr>
  </w:style>
  <w:style w:type="paragraph" w:styleId="TOC1">
    <w:name w:val="toc 1"/>
    <w:basedOn w:val="Normal"/>
    <w:next w:val="Normal"/>
    <w:autoRedefine/>
    <w:uiPriority w:val="39"/>
    <w:unhideWhenUsed/>
    <w:rsid w:val="004B1138"/>
    <w:pPr>
      <w:tabs>
        <w:tab w:val="left" w:pos="794"/>
        <w:tab w:val="right" w:leader="dot" w:pos="10076"/>
      </w:tabs>
      <w:spacing w:after="100"/>
    </w:pPr>
    <w:rPr>
      <w:rFonts w:eastAsia="Times New Roman" w:cs="Times New Roman"/>
      <w:color w:val="343435"/>
      <w:kern w:val="36"/>
      <w:szCs w:val="24"/>
      <w:lang w:val="en-GB"/>
    </w:rPr>
  </w:style>
  <w:style w:type="character" w:styleId="Hyperlink">
    <w:name w:val="Hyperlink"/>
    <w:basedOn w:val="DefaultParagraphFont"/>
    <w:uiPriority w:val="99"/>
    <w:unhideWhenUsed/>
    <w:rsid w:val="00333DD6"/>
    <w:rPr>
      <w:color w:val="0000FF" w:themeColor="hyperlink"/>
      <w:u w:val="single"/>
    </w:rPr>
  </w:style>
  <w:style w:type="paragraph" w:styleId="TOC2">
    <w:name w:val="toc 2"/>
    <w:basedOn w:val="Normal"/>
    <w:next w:val="Normal"/>
    <w:autoRedefine/>
    <w:uiPriority w:val="39"/>
    <w:unhideWhenUsed/>
    <w:rsid w:val="008B4B82"/>
    <w:pPr>
      <w:tabs>
        <w:tab w:val="left" w:pos="794"/>
        <w:tab w:val="right" w:leader="dot" w:pos="10076"/>
      </w:tabs>
      <w:spacing w:after="100"/>
    </w:pPr>
    <w:rPr>
      <w:rFonts w:asciiTheme="minorHAnsi" w:hAnsiTheme="minorHAnsi"/>
      <w:bCs/>
      <w:noProof/>
      <w:color w:val="343435"/>
      <w:szCs w:val="24"/>
    </w:rPr>
  </w:style>
  <w:style w:type="character" w:customStyle="1" w:styleId="Heading4Char">
    <w:name w:val="Heading 4 Char"/>
    <w:basedOn w:val="DefaultParagraphFont"/>
    <w:link w:val="Heading4"/>
    <w:uiPriority w:val="9"/>
    <w:rsid w:val="005058B5"/>
    <w:rPr>
      <w:rFonts w:ascii="Cambria" w:eastAsia="Lucida Sans Unicode" w:hAnsi="Cambria" w:cstheme="majorBidi"/>
      <w:bCs/>
      <w:color w:val="00505E"/>
      <w:sz w:val="26"/>
      <w:szCs w:val="26"/>
    </w:rPr>
  </w:style>
  <w:style w:type="paragraph" w:styleId="TOC3">
    <w:name w:val="toc 3"/>
    <w:basedOn w:val="Normal"/>
    <w:next w:val="Normal"/>
    <w:autoRedefine/>
    <w:uiPriority w:val="39"/>
    <w:unhideWhenUsed/>
    <w:rsid w:val="00F20D53"/>
    <w:pPr>
      <w:tabs>
        <w:tab w:val="left" w:pos="1418"/>
        <w:tab w:val="left" w:pos="1531"/>
        <w:tab w:val="right" w:leader="dot" w:pos="10076"/>
      </w:tabs>
      <w:spacing w:after="100"/>
      <w:ind w:left="794"/>
    </w:pPr>
    <w:rPr>
      <w:color w:val="343435"/>
      <w:sz w:val="22"/>
    </w:rPr>
  </w:style>
  <w:style w:type="table" w:styleId="TableGrid">
    <w:name w:val="Table Grid"/>
    <w:basedOn w:val="TableNormal"/>
    <w:uiPriority w:val="59"/>
    <w:rsid w:val="008A2BF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style>
  <w:style w:type="paragraph" w:styleId="Caption">
    <w:name w:val="caption"/>
    <w:aliases w:val="Table caption,paveikslas,Paveikslo pavadinimas,TabelOverskrift,Char Char Char,Caption1 Char Char Char Char Char Char Char Char,Caption1 Char Char Char Char Char Char Char Char Tegn Tegn Tegn Tegn Tegn,Tabelkop"/>
    <w:basedOn w:val="Normal"/>
    <w:next w:val="Normal"/>
    <w:link w:val="CaptionChar"/>
    <w:unhideWhenUsed/>
    <w:qFormat/>
    <w:rsid w:val="00F20D53"/>
    <w:rPr>
      <w:b/>
      <w:bCs/>
      <w:sz w:val="22"/>
      <w:szCs w:val="18"/>
    </w:rPr>
  </w:style>
  <w:style w:type="paragraph" w:styleId="TableofFigures">
    <w:name w:val="table of figures"/>
    <w:basedOn w:val="Normal"/>
    <w:next w:val="Normal"/>
    <w:uiPriority w:val="99"/>
    <w:unhideWhenUsed/>
    <w:rsid w:val="00614BF4"/>
    <w:pPr>
      <w:ind w:left="505"/>
    </w:pPr>
  </w:style>
  <w:style w:type="table" w:styleId="MediumShading1-Accent3">
    <w:name w:val="Medium Shading 1 Accent 3"/>
    <w:basedOn w:val="TableNormal"/>
    <w:uiPriority w:val="63"/>
    <w:rsid w:val="008D7330"/>
    <w:pPr>
      <w:spacing w:after="0" w:line="240" w:lineRule="auto"/>
    </w:pPr>
    <w:tblPr>
      <w:tblStyleRowBandSize w:val="1"/>
      <w:tblStyleColBandSize w:val="1"/>
      <w:tblBorders>
        <w:top w:val="single" w:sz="8"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single" w:sz="8" w:space="0" w:color="C3D1D8" w:themeColor="accent3" w:themeTint="BF"/>
      </w:tblBorders>
    </w:tblPr>
    <w:tblStylePr w:type="firstRow">
      <w:pPr>
        <w:spacing w:before="0" w:after="0" w:line="240" w:lineRule="auto"/>
      </w:pPr>
      <w:rPr>
        <w:b/>
        <w:bCs/>
        <w:color w:val="FFFFFF" w:themeColor="background1"/>
      </w:rPr>
      <w:tblPr/>
      <w:tcPr>
        <w:tcBorders>
          <w:top w:val="single" w:sz="8"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nil"/>
          <w:insideV w:val="nil"/>
        </w:tcBorders>
        <w:shd w:val="clear" w:color="auto" w:fill="AFC3CB" w:themeFill="accent3"/>
      </w:tcPr>
    </w:tblStylePr>
    <w:tblStylePr w:type="lastRow">
      <w:pPr>
        <w:spacing w:before="0" w:after="0" w:line="240" w:lineRule="auto"/>
      </w:pPr>
      <w:rPr>
        <w:b/>
        <w:bCs/>
      </w:rPr>
      <w:tblPr/>
      <w:tcPr>
        <w:tcBorders>
          <w:top w:val="double" w:sz="6"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0F2" w:themeFill="accent3" w:themeFillTint="3F"/>
      </w:tcPr>
    </w:tblStylePr>
    <w:tblStylePr w:type="band1Horz">
      <w:tblPr/>
      <w:tcPr>
        <w:tcBorders>
          <w:insideH w:val="nil"/>
          <w:insideV w:val="nil"/>
        </w:tcBorders>
        <w:shd w:val="clear" w:color="auto" w:fill="EBF0F2" w:themeFill="accent3" w:themeFillTint="3F"/>
      </w:tcPr>
    </w:tblStylePr>
    <w:tblStylePr w:type="band2Horz">
      <w:tblPr/>
      <w:tcPr>
        <w:tcBorders>
          <w:insideH w:val="nil"/>
          <w:insideV w:val="nil"/>
        </w:tcBorders>
      </w:tcPr>
    </w:tblStylePr>
  </w:style>
  <w:style w:type="table" w:customStyle="1" w:styleId="VPVILentele1">
    <w:name w:val="VPVI Lentele 1"/>
    <w:basedOn w:val="TableGrid"/>
    <w:uiPriority w:val="99"/>
    <w:rsid w:val="009E49F9"/>
    <w:pPr>
      <w:spacing w:line="276" w:lineRule="auto"/>
      <w:contextualSpacing/>
    </w:pPr>
    <w:rPr>
      <w:sz w:val="20"/>
    </w:rPr>
    <w:tblPr>
      <w:tblInd w:w="142" w:type="dxa"/>
    </w:tblPr>
    <w:tblStylePr w:type="firstRow">
      <w:pPr>
        <w:wordWrap/>
        <w:spacing w:line="276" w:lineRule="auto"/>
        <w:jc w:val="center"/>
      </w:pPr>
      <w:rPr>
        <w:rFonts w:asciiTheme="minorHAnsi" w:hAnsiTheme="minorHAnsi"/>
        <w:b/>
        <w:sz w:val="22"/>
      </w:rPr>
      <w:tblPr/>
      <w:tcPr>
        <w:shd w:val="clear" w:color="auto" w:fill="00505E"/>
      </w:tcPr>
    </w:tblStylePr>
    <w:tblStylePr w:type="lastRow">
      <w:pPr>
        <w:wordWrap/>
        <w:spacing w:beforeLines="0" w:beforeAutospacing="0" w:afterLines="0" w:afterAutospacing="0" w:line="276" w:lineRule="auto"/>
        <w:ind w:leftChars="0" w:left="0" w:rightChars="0" w:right="0"/>
        <w:jc w:val="left"/>
      </w:pPr>
      <w:rPr>
        <w:rFonts w:asciiTheme="minorHAnsi" w:hAnsiTheme="minorHAnsi"/>
        <w:sz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Theme="minorHAnsi" w:hAnsiTheme="minorHAnsi"/>
      </w:rPr>
    </w:tblStylePr>
    <w:tblStylePr w:type="lastCol">
      <w:pPr>
        <w:wordWrap/>
        <w:spacing w:line="276" w:lineRule="auto"/>
        <w:jc w:val="left"/>
      </w:pPr>
      <w:rPr>
        <w:rFonts w:asciiTheme="minorHAnsi" w:hAnsiTheme="minorHAnsi"/>
      </w:rPr>
    </w:tblStylePr>
    <w:tblStylePr w:type="band1Vert">
      <w:pPr>
        <w:jc w:val="left"/>
      </w:pPr>
      <w:rPr>
        <w:rFonts w:asciiTheme="minorHAnsi" w:hAnsiTheme="minorHAnsi"/>
      </w:rPr>
    </w:tblStylePr>
    <w:tblStylePr w:type="band2Vert">
      <w:pPr>
        <w:jc w:val="left"/>
      </w:pPr>
      <w:rPr>
        <w:rFonts w:asciiTheme="minorHAnsi" w:hAnsiTheme="minorHAnsi"/>
      </w:rPr>
    </w:tblStylePr>
    <w:tblStylePr w:type="band1Horz">
      <w:pPr>
        <w:wordWrap/>
        <w:spacing w:beforeLines="0" w:beforeAutospacing="0" w:afterLines="0" w:afterAutospacing="0" w:line="276" w:lineRule="auto"/>
        <w:jc w:val="left"/>
      </w:pPr>
      <w:rPr>
        <w:rFonts w:asciiTheme="minorHAnsi" w:hAnsiTheme="minorHAnsi"/>
        <w:b w:val="0"/>
        <w:sz w:val="20"/>
      </w:rPr>
      <w:tblPr/>
      <w:tcPr>
        <w:shd w:val="clear" w:color="auto" w:fill="F6E2A3"/>
      </w:tcPr>
    </w:tblStylePr>
    <w:tblStylePr w:type="band2Horz">
      <w:pPr>
        <w:wordWrap/>
        <w:spacing w:beforeLines="0" w:beforeAutospacing="0" w:afterLines="0" w:afterAutospacing="0" w:line="276" w:lineRule="auto"/>
        <w:ind w:firstLineChars="0" w:firstLine="0"/>
        <w:jc w:val="left"/>
      </w:pPr>
      <w:rPr>
        <w:rFonts w:asciiTheme="minorHAnsi" w:hAnsiTheme="minorHAnsi"/>
        <w:b w:val="0"/>
        <w:sz w:val="20"/>
      </w:rPr>
    </w:tblStylePr>
    <w:tblStylePr w:type="neCell">
      <w:pPr>
        <w:wordWrap/>
        <w:spacing w:beforeLines="0" w:beforeAutospacing="0" w:afterLines="0" w:afterAutospacing="0" w:line="276" w:lineRule="auto"/>
        <w:contextualSpacing/>
        <w:jc w:val="center"/>
      </w:pPr>
      <w:rPr>
        <w:rFonts w:asciiTheme="minorHAnsi" w:hAnsiTheme="minorHAnsi"/>
        <w:sz w:val="22"/>
      </w:rPr>
    </w:tblStylePr>
    <w:tblStylePr w:type="nwCell">
      <w:pPr>
        <w:jc w:val="left"/>
      </w:pPr>
      <w:rPr>
        <w:rFonts w:asciiTheme="minorHAnsi" w:hAnsiTheme="minorHAnsi"/>
      </w:rPr>
    </w:tblStylePr>
    <w:tblStylePr w:type="seCell">
      <w:pPr>
        <w:jc w:val="left"/>
      </w:pPr>
      <w:rPr>
        <w:rFonts w:asciiTheme="minorHAnsi" w:hAnsiTheme="minorHAnsi"/>
        <w:sz w:val="18"/>
      </w:rPr>
    </w:tblStylePr>
    <w:tblStylePr w:type="swCell">
      <w:pPr>
        <w:jc w:val="left"/>
      </w:pPr>
      <w:rPr>
        <w:rFonts w:asciiTheme="minorHAnsi" w:hAnsiTheme="minorHAnsi"/>
        <w:sz w:val="18"/>
      </w:rPr>
    </w:tblStylePr>
  </w:style>
  <w:style w:type="paragraph" w:styleId="EndnoteText">
    <w:name w:val="endnote text"/>
    <w:basedOn w:val="Normal"/>
    <w:link w:val="EndnoteTextChar"/>
    <w:uiPriority w:val="99"/>
    <w:semiHidden/>
    <w:unhideWhenUsed/>
    <w:rsid w:val="003348FA"/>
    <w:rPr>
      <w:sz w:val="20"/>
      <w:szCs w:val="20"/>
    </w:rPr>
  </w:style>
  <w:style w:type="paragraph" w:customStyle="1" w:styleId="ListParagraph2">
    <w:name w:val="List Paragraph 2"/>
    <w:basedOn w:val="ListParagraph"/>
    <w:qFormat/>
    <w:rsid w:val="00F20D53"/>
    <w:rPr>
      <w:bCs/>
      <w:sz w:val="20"/>
      <w:szCs w:val="20"/>
    </w:rPr>
  </w:style>
  <w:style w:type="character" w:customStyle="1" w:styleId="EndnoteTextChar">
    <w:name w:val="Endnote Text Char"/>
    <w:basedOn w:val="DefaultParagraphFont"/>
    <w:link w:val="EndnoteText"/>
    <w:uiPriority w:val="99"/>
    <w:semiHidden/>
    <w:rsid w:val="003348FA"/>
    <w:rPr>
      <w:sz w:val="20"/>
      <w:szCs w:val="20"/>
    </w:rPr>
  </w:style>
  <w:style w:type="table" w:customStyle="1" w:styleId="VPVILentele2">
    <w:name w:val="VPVI Lentele 2"/>
    <w:basedOn w:val="VPVILentele1"/>
    <w:uiPriority w:val="99"/>
    <w:rsid w:val="009E49F9"/>
    <w:tblPr/>
    <w:tblStylePr w:type="firstRow">
      <w:pPr>
        <w:wordWrap/>
        <w:spacing w:line="276" w:lineRule="auto"/>
        <w:jc w:val="center"/>
      </w:pPr>
      <w:rPr>
        <w:rFonts w:asciiTheme="minorHAnsi" w:hAnsiTheme="minorHAnsi"/>
        <w:b/>
        <w:sz w:val="22"/>
      </w:rPr>
      <w:tblPr/>
      <w:tcPr>
        <w:shd w:val="clear" w:color="auto" w:fill="00505E"/>
      </w:tcPr>
    </w:tblStylePr>
    <w:tblStylePr w:type="lastRow">
      <w:pPr>
        <w:wordWrap/>
        <w:spacing w:beforeLines="0" w:beforeAutospacing="0" w:afterLines="0" w:afterAutospacing="0" w:line="276" w:lineRule="auto"/>
        <w:ind w:leftChars="0" w:left="0" w:rightChars="0" w:right="0"/>
        <w:jc w:val="left"/>
      </w:pPr>
      <w:rPr>
        <w:rFonts w:asciiTheme="minorHAnsi" w:hAnsiTheme="minorHAnsi"/>
        <w:b w:val="0"/>
        <w:sz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Theme="minorHAnsi" w:hAnsiTheme="minorHAnsi"/>
      </w:rPr>
    </w:tblStylePr>
    <w:tblStylePr w:type="lastCol">
      <w:pPr>
        <w:wordWrap/>
        <w:spacing w:line="276" w:lineRule="auto"/>
        <w:jc w:val="left"/>
      </w:pPr>
      <w:rPr>
        <w:rFonts w:asciiTheme="minorHAnsi" w:hAnsiTheme="minorHAnsi"/>
      </w:rPr>
    </w:tblStylePr>
    <w:tblStylePr w:type="band1Vert">
      <w:pPr>
        <w:jc w:val="left"/>
      </w:pPr>
      <w:rPr>
        <w:rFonts w:asciiTheme="minorHAnsi" w:hAnsiTheme="minorHAnsi"/>
      </w:rPr>
    </w:tblStylePr>
    <w:tblStylePr w:type="band2Vert">
      <w:pPr>
        <w:jc w:val="left"/>
      </w:pPr>
      <w:rPr>
        <w:rFonts w:asciiTheme="minorHAnsi" w:hAnsiTheme="minorHAnsi"/>
      </w:rPr>
    </w:tblStylePr>
    <w:tblStylePr w:type="band1Horz">
      <w:pPr>
        <w:wordWrap/>
        <w:spacing w:beforeLines="0" w:beforeAutospacing="0" w:afterLines="0" w:afterAutospacing="0" w:line="276" w:lineRule="auto"/>
        <w:jc w:val="left"/>
      </w:pPr>
      <w:rPr>
        <w:rFonts w:asciiTheme="minorHAnsi" w:hAnsiTheme="minorHAnsi"/>
        <w:b w:val="0"/>
        <w:sz w:val="20"/>
      </w:rPr>
      <w:tblPr/>
      <w:tcPr>
        <w:shd w:val="clear" w:color="auto" w:fill="F6E2A3"/>
      </w:tcPr>
    </w:tblStylePr>
    <w:tblStylePr w:type="band2Horz">
      <w:pPr>
        <w:wordWrap/>
        <w:spacing w:beforeLines="0" w:beforeAutospacing="0" w:afterLines="0" w:afterAutospacing="0" w:line="276" w:lineRule="auto"/>
        <w:ind w:firstLineChars="0" w:firstLine="0"/>
        <w:jc w:val="left"/>
      </w:pPr>
      <w:rPr>
        <w:rFonts w:asciiTheme="minorHAnsi" w:hAnsiTheme="minorHAnsi"/>
        <w:b w:val="0"/>
        <w:sz w:val="20"/>
      </w:rPr>
    </w:tblStylePr>
    <w:tblStylePr w:type="neCell">
      <w:pPr>
        <w:wordWrap/>
        <w:spacing w:beforeLines="0" w:beforeAutospacing="0" w:afterLines="0" w:afterAutospacing="0" w:line="276" w:lineRule="auto"/>
        <w:contextualSpacing/>
        <w:jc w:val="center"/>
      </w:pPr>
      <w:rPr>
        <w:rFonts w:asciiTheme="minorHAnsi" w:hAnsiTheme="minorHAnsi"/>
        <w:sz w:val="22"/>
      </w:rPr>
    </w:tblStylePr>
    <w:tblStylePr w:type="nwCell">
      <w:pPr>
        <w:jc w:val="left"/>
      </w:pPr>
      <w:rPr>
        <w:rFonts w:asciiTheme="minorHAnsi" w:hAnsiTheme="minorHAnsi"/>
      </w:rPr>
    </w:tblStylePr>
    <w:tblStylePr w:type="seCell">
      <w:pPr>
        <w:jc w:val="left"/>
      </w:pPr>
      <w:rPr>
        <w:rFonts w:ascii="Lucida Sans Unicode" w:hAnsi="Lucida Sans Unicode"/>
        <w:sz w:val="18"/>
      </w:rPr>
    </w:tblStylePr>
    <w:tblStylePr w:type="swCell">
      <w:pPr>
        <w:jc w:val="left"/>
      </w:pPr>
      <w:rPr>
        <w:rFonts w:ascii="Lucida Sans Unicode" w:hAnsi="Lucida Sans Unicode"/>
        <w:sz w:val="18"/>
      </w:rPr>
    </w:tblStylePr>
  </w:style>
  <w:style w:type="character" w:customStyle="1" w:styleId="Heading5Char">
    <w:name w:val="Heading 5 Char"/>
    <w:basedOn w:val="DefaultParagraphFont"/>
    <w:link w:val="Heading5"/>
    <w:uiPriority w:val="9"/>
    <w:rsid w:val="005058B5"/>
    <w:rPr>
      <w:rFonts w:ascii="Cambria" w:eastAsiaTheme="majorEastAsia" w:hAnsi="Cambria" w:cstheme="majorBidi"/>
      <w:bCs/>
      <w:color w:val="00505E"/>
      <w:sz w:val="24"/>
      <w:szCs w:val="26"/>
    </w:rPr>
  </w:style>
  <w:style w:type="character" w:customStyle="1" w:styleId="Heading6Char">
    <w:name w:val="Heading 6 Char"/>
    <w:basedOn w:val="DefaultParagraphFont"/>
    <w:link w:val="Heading6"/>
    <w:uiPriority w:val="9"/>
    <w:rsid w:val="00F20D53"/>
    <w:rPr>
      <w:rFonts w:ascii="Cambria" w:eastAsiaTheme="majorEastAsia" w:hAnsi="Cambria" w:cstheme="majorBidi"/>
      <w:bCs/>
      <w:color w:val="00505E"/>
      <w:sz w:val="24"/>
      <w:szCs w:val="26"/>
    </w:rPr>
  </w:style>
  <w:style w:type="paragraph" w:styleId="TOC4">
    <w:name w:val="toc 4"/>
    <w:basedOn w:val="Normal"/>
    <w:next w:val="Normal"/>
    <w:autoRedefine/>
    <w:uiPriority w:val="39"/>
    <w:unhideWhenUsed/>
    <w:rsid w:val="00B6422A"/>
    <w:pPr>
      <w:tabs>
        <w:tab w:val="left" w:pos="2041"/>
        <w:tab w:val="left" w:pos="2155"/>
        <w:tab w:val="right" w:leader="dot" w:pos="10076"/>
      </w:tabs>
      <w:spacing w:after="100"/>
      <w:ind w:left="794"/>
    </w:pPr>
    <w:rPr>
      <w:noProof/>
      <w:color w:val="343435"/>
      <w:sz w:val="22"/>
    </w:rPr>
  </w:style>
  <w:style w:type="paragraph" w:styleId="Index1">
    <w:name w:val="index 1"/>
    <w:basedOn w:val="Normal"/>
    <w:next w:val="Normal"/>
    <w:autoRedefine/>
    <w:uiPriority w:val="99"/>
    <w:semiHidden/>
    <w:unhideWhenUsed/>
    <w:rsid w:val="00427E9A"/>
    <w:pPr>
      <w:ind w:left="240" w:hanging="240"/>
    </w:pPr>
  </w:style>
  <w:style w:type="paragraph" w:styleId="TOC5">
    <w:name w:val="toc 5"/>
    <w:basedOn w:val="Normal"/>
    <w:next w:val="Normal"/>
    <w:autoRedefine/>
    <w:uiPriority w:val="39"/>
    <w:unhideWhenUsed/>
    <w:rsid w:val="00F20D53"/>
    <w:pPr>
      <w:tabs>
        <w:tab w:val="left" w:pos="2722"/>
        <w:tab w:val="left" w:pos="2835"/>
        <w:tab w:val="right" w:leader="dot" w:pos="10076"/>
      </w:tabs>
      <w:spacing w:after="100"/>
      <w:ind w:left="1588"/>
    </w:pPr>
    <w:rPr>
      <w:color w:val="343435"/>
      <w:sz w:val="22"/>
    </w:rPr>
  </w:style>
  <w:style w:type="character" w:customStyle="1" w:styleId="Heading7Char">
    <w:name w:val="Heading 7 Char"/>
    <w:basedOn w:val="DefaultParagraphFont"/>
    <w:link w:val="Heading7"/>
    <w:uiPriority w:val="9"/>
    <w:rsid w:val="00F20D53"/>
    <w:rPr>
      <w:rFonts w:ascii="Cambria" w:eastAsiaTheme="majorEastAsia" w:hAnsi="Cambria" w:cstheme="majorBidi"/>
      <w:b/>
      <w:iCs/>
      <w:noProof/>
      <w:sz w:val="20"/>
    </w:rPr>
  </w:style>
  <w:style w:type="character" w:styleId="IntenseEmphasis">
    <w:name w:val="Intense Emphasis"/>
    <w:basedOn w:val="DefaultParagraphFont"/>
    <w:uiPriority w:val="21"/>
    <w:qFormat/>
    <w:rsid w:val="00B71153"/>
    <w:rPr>
      <w:b/>
      <w:bCs/>
      <w:i/>
      <w:iCs/>
      <w:color w:val="175F6E"/>
    </w:rPr>
  </w:style>
  <w:style w:type="paragraph" w:styleId="IntenseQuote">
    <w:name w:val="Intense Quote"/>
    <w:basedOn w:val="Normal"/>
    <w:next w:val="Normal"/>
    <w:link w:val="IntenseQuoteChar"/>
    <w:uiPriority w:val="30"/>
    <w:qFormat/>
    <w:rsid w:val="00B71153"/>
    <w:pPr>
      <w:pBdr>
        <w:bottom w:val="single" w:sz="4" w:space="4" w:color="175F6E"/>
      </w:pBdr>
      <w:spacing w:before="200" w:after="280"/>
      <w:ind w:left="936" w:right="936"/>
    </w:pPr>
    <w:rPr>
      <w:b/>
      <w:bCs/>
      <w:i/>
      <w:iCs/>
      <w:color w:val="175F6E"/>
    </w:rPr>
  </w:style>
  <w:style w:type="character" w:customStyle="1" w:styleId="IntenseQuoteChar">
    <w:name w:val="Intense Quote Char"/>
    <w:basedOn w:val="DefaultParagraphFont"/>
    <w:link w:val="IntenseQuote"/>
    <w:uiPriority w:val="30"/>
    <w:rsid w:val="00B71153"/>
    <w:rPr>
      <w:b/>
      <w:bCs/>
      <w:i/>
      <w:iCs/>
      <w:color w:val="175F6E"/>
      <w:sz w:val="24"/>
    </w:rPr>
  </w:style>
  <w:style w:type="character" w:styleId="SubtleReference">
    <w:name w:val="Subtle Reference"/>
    <w:basedOn w:val="DefaultParagraphFont"/>
    <w:uiPriority w:val="31"/>
    <w:qFormat/>
    <w:rsid w:val="00B71153"/>
    <w:rPr>
      <w:smallCaps/>
      <w:color w:val="175F6E"/>
      <w:u w:val="single"/>
    </w:rPr>
  </w:style>
  <w:style w:type="character" w:styleId="IntenseReference">
    <w:name w:val="Intense Reference"/>
    <w:basedOn w:val="DefaultParagraphFont"/>
    <w:uiPriority w:val="32"/>
    <w:qFormat/>
    <w:rsid w:val="00B71153"/>
    <w:rPr>
      <w:b/>
      <w:bCs/>
      <w:smallCaps/>
      <w:color w:val="175F6E"/>
      <w:spacing w:val="5"/>
      <w:u w:val="single"/>
    </w:rPr>
  </w:style>
  <w:style w:type="paragraph" w:styleId="FootnoteText">
    <w:name w:val="footnote text"/>
    <w:aliases w:val="Footnote Text Char Char,Footnote,Footnote Text Char Char Char Char Char Char,Footnote Text Char Char Char Char Char,Footnote text,fn,Footnote Text Blue,Footnote Text Blue Char Char Char Char,stile 1,Footnote1,Footnote2,Footnote3"/>
    <w:basedOn w:val="Normal"/>
    <w:link w:val="FootnoteTextChar"/>
    <w:uiPriority w:val="99"/>
    <w:unhideWhenUsed/>
    <w:qFormat/>
    <w:rsid w:val="00120F42"/>
    <w:rPr>
      <w:sz w:val="20"/>
      <w:szCs w:val="20"/>
    </w:rPr>
  </w:style>
  <w:style w:type="character" w:customStyle="1" w:styleId="FootnoteTextChar">
    <w:name w:val="Footnote Text Char"/>
    <w:aliases w:val="Footnote Text Char Char Char,Footnote Char,Footnote Text Char Char Char Char Char Char Char,Footnote Text Char Char Char Char Char Char1,Footnote text Char,fn Char,Footnote Text Blue Char,Footnote Text Blue Char Char Char Char Char"/>
    <w:basedOn w:val="DefaultParagraphFont"/>
    <w:link w:val="FootnoteText"/>
    <w:uiPriority w:val="99"/>
    <w:rsid w:val="00120F42"/>
    <w:rPr>
      <w:sz w:val="20"/>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SUPER"/>
    <w:basedOn w:val="DefaultParagraphFont"/>
    <w:uiPriority w:val="99"/>
    <w:unhideWhenUsed/>
    <w:qFormat/>
    <w:rsid w:val="00120F42"/>
    <w:rPr>
      <w:vertAlign w:val="superscript"/>
    </w:rPr>
  </w:style>
  <w:style w:type="character" w:styleId="EndnoteReference">
    <w:name w:val="endnote reference"/>
    <w:basedOn w:val="DefaultParagraphFont"/>
    <w:uiPriority w:val="99"/>
    <w:semiHidden/>
    <w:unhideWhenUsed/>
    <w:rsid w:val="003348FA"/>
    <w:rPr>
      <w:vertAlign w:val="superscript"/>
    </w:rPr>
  </w:style>
  <w:style w:type="table" w:customStyle="1" w:styleId="LightShading1">
    <w:name w:val="Light Shading1"/>
    <w:basedOn w:val="TableNormal"/>
    <w:uiPriority w:val="60"/>
    <w:rsid w:val="005901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403156"/>
    <w:pPr>
      <w:spacing w:after="0" w:line="240" w:lineRule="auto"/>
    </w:pPr>
    <w:rPr>
      <w:color w:val="7597A5" w:themeColor="accent3" w:themeShade="BF"/>
    </w:rPr>
    <w:tblPr>
      <w:tblStyleRowBandSize w:val="1"/>
      <w:tblStyleColBandSize w:val="1"/>
      <w:tblBorders>
        <w:top w:val="single" w:sz="8" w:space="0" w:color="AFC3CB" w:themeColor="accent3"/>
        <w:bottom w:val="single" w:sz="8" w:space="0" w:color="AFC3CB" w:themeColor="accent3"/>
      </w:tblBorders>
    </w:tblPr>
    <w:tblStylePr w:type="firstRow">
      <w:pPr>
        <w:spacing w:before="0" w:after="0" w:line="240" w:lineRule="auto"/>
      </w:pPr>
      <w:rPr>
        <w:b/>
        <w:bCs/>
      </w:rPr>
      <w:tblPr/>
      <w:tcPr>
        <w:tcBorders>
          <w:top w:val="single" w:sz="8" w:space="0" w:color="AFC3CB" w:themeColor="accent3"/>
          <w:left w:val="nil"/>
          <w:bottom w:val="single" w:sz="8" w:space="0" w:color="AFC3CB" w:themeColor="accent3"/>
          <w:right w:val="nil"/>
          <w:insideH w:val="nil"/>
          <w:insideV w:val="nil"/>
        </w:tcBorders>
      </w:tcPr>
    </w:tblStylePr>
    <w:tblStylePr w:type="lastRow">
      <w:pPr>
        <w:spacing w:before="0" w:after="0" w:line="240" w:lineRule="auto"/>
      </w:pPr>
      <w:rPr>
        <w:b/>
        <w:bCs/>
      </w:rPr>
      <w:tblPr/>
      <w:tcPr>
        <w:tcBorders>
          <w:top w:val="single" w:sz="8" w:space="0" w:color="AFC3CB" w:themeColor="accent3"/>
          <w:left w:val="nil"/>
          <w:bottom w:val="single" w:sz="8" w:space="0" w:color="AFC3C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F2" w:themeFill="accent3" w:themeFillTint="3F"/>
      </w:tcPr>
    </w:tblStylePr>
    <w:tblStylePr w:type="band1Horz">
      <w:tblPr/>
      <w:tcPr>
        <w:tcBorders>
          <w:left w:val="nil"/>
          <w:right w:val="nil"/>
          <w:insideH w:val="nil"/>
          <w:insideV w:val="nil"/>
        </w:tcBorders>
        <w:shd w:val="clear" w:color="auto" w:fill="EBF0F2" w:themeFill="accent3" w:themeFillTint="3F"/>
      </w:tcPr>
    </w:tblStylePr>
  </w:style>
  <w:style w:type="character" w:customStyle="1" w:styleId="Heading8Char">
    <w:name w:val="Heading 8 Char"/>
    <w:basedOn w:val="DefaultParagraphFont"/>
    <w:link w:val="Heading8"/>
    <w:uiPriority w:val="9"/>
    <w:rsid w:val="00F20D53"/>
    <w:rPr>
      <w:rFonts w:ascii="Cambria" w:eastAsiaTheme="majorEastAsia" w:hAnsi="Cambri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20D53"/>
    <w:rPr>
      <w:rFonts w:ascii="Cambria" w:eastAsiaTheme="majorEastAsia" w:hAnsi="Cambria" w:cstheme="majorBidi"/>
      <w:i/>
      <w:iCs/>
      <w:color w:val="404040" w:themeColor="text1" w:themeTint="BF"/>
      <w:sz w:val="20"/>
      <w:szCs w:val="20"/>
    </w:rPr>
  </w:style>
  <w:style w:type="character" w:styleId="SubtleEmphasis">
    <w:name w:val="Subtle Emphasis"/>
    <w:basedOn w:val="DefaultParagraphFont"/>
    <w:uiPriority w:val="19"/>
    <w:qFormat/>
    <w:rsid w:val="00F20D53"/>
    <w:rPr>
      <w:i/>
      <w:iCs/>
      <w:color w:val="808080" w:themeColor="text1" w:themeTint="7F"/>
    </w:rPr>
  </w:style>
  <w:style w:type="character" w:styleId="Emphasis">
    <w:name w:val="Emphasis"/>
    <w:basedOn w:val="DefaultParagraphFont"/>
    <w:uiPriority w:val="20"/>
    <w:qFormat/>
    <w:rsid w:val="00F20D53"/>
    <w:rPr>
      <w:i/>
      <w:iCs/>
    </w:rPr>
  </w:style>
  <w:style w:type="character" w:styleId="Strong">
    <w:name w:val="Strong"/>
    <w:basedOn w:val="DefaultParagraphFont"/>
    <w:uiPriority w:val="22"/>
    <w:qFormat/>
    <w:rsid w:val="00F20D53"/>
    <w:rPr>
      <w:b/>
      <w:bCs/>
    </w:rPr>
  </w:style>
  <w:style w:type="paragraph" w:styleId="Quote">
    <w:name w:val="Quote"/>
    <w:basedOn w:val="Normal"/>
    <w:next w:val="Normal"/>
    <w:link w:val="QuoteChar"/>
    <w:uiPriority w:val="29"/>
    <w:qFormat/>
    <w:rsid w:val="00F20D53"/>
    <w:rPr>
      <w:i/>
      <w:iCs/>
      <w:color w:val="000000" w:themeColor="text1"/>
    </w:rPr>
  </w:style>
  <w:style w:type="character" w:customStyle="1" w:styleId="QuoteChar">
    <w:name w:val="Quote Char"/>
    <w:basedOn w:val="DefaultParagraphFont"/>
    <w:link w:val="Quote"/>
    <w:uiPriority w:val="29"/>
    <w:rsid w:val="00F20D53"/>
    <w:rPr>
      <w:rFonts w:ascii="Cambria" w:hAnsi="Cambria"/>
      <w:i/>
      <w:iCs/>
      <w:color w:val="000000" w:themeColor="text1"/>
      <w:sz w:val="24"/>
    </w:rPr>
  </w:style>
  <w:style w:type="character" w:styleId="BookTitle">
    <w:name w:val="Book Title"/>
    <w:basedOn w:val="DefaultParagraphFont"/>
    <w:uiPriority w:val="33"/>
    <w:qFormat/>
    <w:rsid w:val="00F20D53"/>
    <w:rPr>
      <w:b/>
      <w:bCs/>
      <w:smallCaps/>
      <w:spacing w:val="5"/>
    </w:rPr>
  </w:style>
  <w:style w:type="table" w:customStyle="1" w:styleId="LightShading-Accent11">
    <w:name w:val="Light Shading - Accent 11"/>
    <w:basedOn w:val="TableNormal"/>
    <w:uiPriority w:val="60"/>
    <w:rsid w:val="008A2BFC"/>
    <w:pPr>
      <w:spacing w:after="0" w:line="240" w:lineRule="auto"/>
    </w:pPr>
    <w:rPr>
      <w:color w:val="FBA925" w:themeColor="accent1" w:themeShade="BF"/>
    </w:rPr>
    <w:tblPr>
      <w:tblStyleRowBandSize w:val="1"/>
      <w:tblStyleColBandSize w:val="1"/>
      <w:tblBorders>
        <w:top w:val="single" w:sz="8" w:space="0" w:color="FDCF85" w:themeColor="accent1"/>
        <w:bottom w:val="single" w:sz="8" w:space="0" w:color="FDCF85" w:themeColor="accent1"/>
      </w:tblBorders>
    </w:tblPr>
    <w:tblStylePr w:type="fir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la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E0" w:themeFill="accent1" w:themeFillTint="3F"/>
      </w:tcPr>
    </w:tblStylePr>
    <w:tblStylePr w:type="band1Horz">
      <w:tblPr/>
      <w:tcPr>
        <w:tcBorders>
          <w:left w:val="nil"/>
          <w:right w:val="nil"/>
          <w:insideH w:val="nil"/>
          <w:insideV w:val="nil"/>
        </w:tcBorders>
        <w:shd w:val="clear" w:color="auto" w:fill="FEF3E0" w:themeFill="accent1" w:themeFillTint="3F"/>
      </w:tcPr>
    </w:tblStylePr>
  </w:style>
  <w:style w:type="table" w:styleId="LightShading-Accent2">
    <w:name w:val="Light Shading Accent 2"/>
    <w:basedOn w:val="TableNormal"/>
    <w:uiPriority w:val="60"/>
    <w:rsid w:val="00FE755D"/>
    <w:pPr>
      <w:spacing w:after="0" w:line="240" w:lineRule="auto"/>
    </w:pPr>
    <w:rPr>
      <w:color w:val="D98B05" w:themeColor="accent2" w:themeShade="BF"/>
    </w:rPr>
    <w:tblPr>
      <w:tblStyleRowBandSize w:val="1"/>
      <w:tblStyleColBandSize w:val="1"/>
      <w:tblBorders>
        <w:top w:val="single" w:sz="8" w:space="0" w:color="FAB02F" w:themeColor="accent2"/>
        <w:bottom w:val="single" w:sz="8" w:space="0" w:color="FAB02F" w:themeColor="accent2"/>
      </w:tblBorders>
    </w:tblPr>
    <w:tblStylePr w:type="firstRow">
      <w:pPr>
        <w:spacing w:before="0" w:after="0" w:line="240" w:lineRule="auto"/>
      </w:pPr>
      <w:rPr>
        <w:b/>
        <w:bCs/>
      </w:rPr>
      <w:tblPr/>
      <w:tcPr>
        <w:tcBorders>
          <w:top w:val="single" w:sz="8" w:space="0" w:color="FAB02F" w:themeColor="accent2"/>
          <w:left w:val="nil"/>
          <w:bottom w:val="single" w:sz="8" w:space="0" w:color="FAB02F" w:themeColor="accent2"/>
          <w:right w:val="nil"/>
          <w:insideH w:val="nil"/>
          <w:insideV w:val="nil"/>
        </w:tcBorders>
      </w:tcPr>
    </w:tblStylePr>
    <w:tblStylePr w:type="lastRow">
      <w:pPr>
        <w:spacing w:before="0" w:after="0" w:line="240" w:lineRule="auto"/>
      </w:pPr>
      <w:rPr>
        <w:b/>
        <w:bCs/>
      </w:rPr>
      <w:tblPr/>
      <w:tcPr>
        <w:tcBorders>
          <w:top w:val="single" w:sz="8" w:space="0" w:color="FAB02F" w:themeColor="accent2"/>
          <w:left w:val="nil"/>
          <w:bottom w:val="single" w:sz="8" w:space="0" w:color="FAB0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B" w:themeFill="accent2" w:themeFillTint="3F"/>
      </w:tcPr>
    </w:tblStylePr>
    <w:tblStylePr w:type="band1Horz">
      <w:tblPr/>
      <w:tcPr>
        <w:tcBorders>
          <w:left w:val="nil"/>
          <w:right w:val="nil"/>
          <w:insideH w:val="nil"/>
          <w:insideV w:val="nil"/>
        </w:tcBorders>
        <w:shd w:val="clear" w:color="auto" w:fill="FDEBCB" w:themeFill="accent2" w:themeFillTint="3F"/>
      </w:tcPr>
    </w:tblStylePr>
  </w:style>
  <w:style w:type="table" w:styleId="LightShading-Accent4">
    <w:name w:val="Light Shading Accent 4"/>
    <w:basedOn w:val="TableNormal"/>
    <w:uiPriority w:val="60"/>
    <w:rsid w:val="00FE755D"/>
    <w:pPr>
      <w:spacing w:after="0" w:line="240" w:lineRule="auto"/>
    </w:pPr>
    <w:rPr>
      <w:color w:val="244C56" w:themeColor="accent4" w:themeShade="BF"/>
    </w:rPr>
    <w:tblPr>
      <w:tblStyleRowBandSize w:val="1"/>
      <w:tblStyleColBandSize w:val="1"/>
      <w:tblBorders>
        <w:top w:val="single" w:sz="8" w:space="0" w:color="306673" w:themeColor="accent4"/>
        <w:bottom w:val="single" w:sz="8" w:space="0" w:color="306673" w:themeColor="accent4"/>
      </w:tblBorders>
    </w:tblPr>
    <w:tblStylePr w:type="firstRow">
      <w:pPr>
        <w:spacing w:before="0" w:after="0" w:line="240" w:lineRule="auto"/>
      </w:pPr>
      <w:rPr>
        <w:b/>
        <w:bCs/>
      </w:rPr>
      <w:tblPr/>
      <w:tcPr>
        <w:tcBorders>
          <w:top w:val="single" w:sz="8" w:space="0" w:color="306673" w:themeColor="accent4"/>
          <w:left w:val="nil"/>
          <w:bottom w:val="single" w:sz="8" w:space="0" w:color="306673" w:themeColor="accent4"/>
          <w:right w:val="nil"/>
          <w:insideH w:val="nil"/>
          <w:insideV w:val="nil"/>
        </w:tcBorders>
      </w:tcPr>
    </w:tblStylePr>
    <w:tblStylePr w:type="lastRow">
      <w:pPr>
        <w:spacing w:before="0" w:after="0" w:line="240" w:lineRule="auto"/>
      </w:pPr>
      <w:rPr>
        <w:b/>
        <w:bCs/>
      </w:rPr>
      <w:tblPr/>
      <w:tcPr>
        <w:tcBorders>
          <w:top w:val="single" w:sz="8" w:space="0" w:color="306673" w:themeColor="accent4"/>
          <w:left w:val="nil"/>
          <w:bottom w:val="single" w:sz="8" w:space="0" w:color="3066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EE5" w:themeFill="accent4" w:themeFillTint="3F"/>
      </w:tcPr>
    </w:tblStylePr>
    <w:tblStylePr w:type="band1Horz">
      <w:tblPr/>
      <w:tcPr>
        <w:tcBorders>
          <w:left w:val="nil"/>
          <w:right w:val="nil"/>
          <w:insideH w:val="nil"/>
          <w:insideV w:val="nil"/>
        </w:tcBorders>
        <w:shd w:val="clear" w:color="auto" w:fill="C2DEE5" w:themeFill="accent4" w:themeFillTint="3F"/>
      </w:tcPr>
    </w:tblStylePr>
  </w:style>
  <w:style w:type="table" w:styleId="LightShading-Accent5">
    <w:name w:val="Light Shading Accent 5"/>
    <w:basedOn w:val="TableNormal"/>
    <w:uiPriority w:val="60"/>
    <w:rsid w:val="00FE755D"/>
    <w:pPr>
      <w:spacing w:after="0" w:line="240" w:lineRule="auto"/>
    </w:pPr>
    <w:rPr>
      <w:color w:val="013138" w:themeColor="accent5" w:themeShade="BF"/>
    </w:rPr>
    <w:tblPr>
      <w:tblStyleRowBandSize w:val="1"/>
      <w:tblStyleColBandSize w:val="1"/>
      <w:tblBorders>
        <w:top w:val="single" w:sz="8" w:space="0" w:color="02424C" w:themeColor="accent5"/>
        <w:bottom w:val="single" w:sz="8" w:space="0" w:color="02424C" w:themeColor="accent5"/>
      </w:tblBorders>
    </w:tblPr>
    <w:tblStylePr w:type="firstRow">
      <w:pPr>
        <w:spacing w:before="0" w:after="0" w:line="240" w:lineRule="auto"/>
      </w:pPr>
      <w:rPr>
        <w:b/>
        <w:bCs/>
      </w:rPr>
      <w:tblPr/>
      <w:tcPr>
        <w:tcBorders>
          <w:top w:val="single" w:sz="8" w:space="0" w:color="02424C" w:themeColor="accent5"/>
          <w:left w:val="nil"/>
          <w:bottom w:val="single" w:sz="8" w:space="0" w:color="02424C" w:themeColor="accent5"/>
          <w:right w:val="nil"/>
          <w:insideH w:val="nil"/>
          <w:insideV w:val="nil"/>
        </w:tcBorders>
      </w:tcPr>
    </w:tblStylePr>
    <w:tblStylePr w:type="lastRow">
      <w:pPr>
        <w:spacing w:before="0" w:after="0" w:line="240" w:lineRule="auto"/>
      </w:pPr>
      <w:rPr>
        <w:b/>
        <w:bCs/>
      </w:rPr>
      <w:tblPr/>
      <w:tcPr>
        <w:tcBorders>
          <w:top w:val="single" w:sz="8" w:space="0" w:color="02424C" w:themeColor="accent5"/>
          <w:left w:val="nil"/>
          <w:bottom w:val="single" w:sz="8" w:space="0" w:color="0242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EEFC" w:themeFill="accent5" w:themeFillTint="3F"/>
      </w:tcPr>
    </w:tblStylePr>
    <w:tblStylePr w:type="band1Horz">
      <w:tblPr/>
      <w:tcPr>
        <w:tcBorders>
          <w:left w:val="nil"/>
          <w:right w:val="nil"/>
          <w:insideH w:val="nil"/>
          <w:insideV w:val="nil"/>
        </w:tcBorders>
        <w:shd w:val="clear" w:color="auto" w:fill="96EEFC" w:themeFill="accent5" w:themeFillTint="3F"/>
      </w:tcPr>
    </w:tblStylePr>
  </w:style>
  <w:style w:type="table" w:styleId="LightShading-Accent6">
    <w:name w:val="Light Shading Accent 6"/>
    <w:basedOn w:val="TableNormal"/>
    <w:uiPriority w:val="60"/>
    <w:rsid w:val="00FE755D"/>
    <w:pPr>
      <w:spacing w:after="0" w:line="240" w:lineRule="auto"/>
    </w:pPr>
    <w:rPr>
      <w:color w:val="FCB54D" w:themeColor="accent6" w:themeShade="BF"/>
    </w:rPr>
    <w:tblPr>
      <w:tblStyleRowBandSize w:val="1"/>
      <w:tblStyleColBandSize w:val="1"/>
      <w:tblBorders>
        <w:top w:val="single" w:sz="8" w:space="0" w:color="FEE3BB" w:themeColor="accent6"/>
        <w:bottom w:val="single" w:sz="8" w:space="0" w:color="FEE3BB" w:themeColor="accent6"/>
      </w:tblBorders>
    </w:tblPr>
    <w:tblStylePr w:type="firstRow">
      <w:pPr>
        <w:spacing w:before="0" w:after="0" w:line="240" w:lineRule="auto"/>
      </w:pPr>
      <w:rPr>
        <w:b/>
        <w:bCs/>
      </w:rPr>
      <w:tblPr/>
      <w:tcPr>
        <w:tcBorders>
          <w:top w:val="single" w:sz="8" w:space="0" w:color="FEE3BB" w:themeColor="accent6"/>
          <w:left w:val="nil"/>
          <w:bottom w:val="single" w:sz="8" w:space="0" w:color="FEE3BB" w:themeColor="accent6"/>
          <w:right w:val="nil"/>
          <w:insideH w:val="nil"/>
          <w:insideV w:val="nil"/>
        </w:tcBorders>
      </w:tcPr>
    </w:tblStylePr>
    <w:tblStylePr w:type="lastRow">
      <w:pPr>
        <w:spacing w:before="0" w:after="0" w:line="240" w:lineRule="auto"/>
      </w:pPr>
      <w:rPr>
        <w:b/>
        <w:bCs/>
      </w:rPr>
      <w:tblPr/>
      <w:tcPr>
        <w:tcBorders>
          <w:top w:val="single" w:sz="8" w:space="0" w:color="FEE3BB" w:themeColor="accent6"/>
          <w:left w:val="nil"/>
          <w:bottom w:val="single" w:sz="8" w:space="0" w:color="FEE3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ED" w:themeFill="accent6" w:themeFillTint="3F"/>
      </w:tcPr>
    </w:tblStylePr>
    <w:tblStylePr w:type="band1Horz">
      <w:tblPr/>
      <w:tcPr>
        <w:tcBorders>
          <w:left w:val="nil"/>
          <w:right w:val="nil"/>
          <w:insideH w:val="nil"/>
          <w:insideV w:val="nil"/>
        </w:tcBorders>
        <w:shd w:val="clear" w:color="auto" w:fill="FEF7ED" w:themeFill="accent6" w:themeFillTint="3F"/>
      </w:tcPr>
    </w:tblStylePr>
  </w:style>
  <w:style w:type="table" w:customStyle="1" w:styleId="LightList1">
    <w:name w:val="Light List1"/>
    <w:basedOn w:val="TableNormal"/>
    <w:uiPriority w:val="61"/>
    <w:rsid w:val="00FE75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E755D"/>
    <w:pPr>
      <w:spacing w:after="0" w:line="240" w:lineRule="auto"/>
    </w:pPr>
    <w:tblPr>
      <w:tblStyleRowBandSize w:val="1"/>
      <w:tblStyleColBandSize w:val="1"/>
      <w:tblBorders>
        <w:top w:val="single" w:sz="8" w:space="0" w:color="FDCF85" w:themeColor="accent1"/>
        <w:left w:val="single" w:sz="8" w:space="0" w:color="FDCF85" w:themeColor="accent1"/>
        <w:bottom w:val="single" w:sz="8" w:space="0" w:color="FDCF85" w:themeColor="accent1"/>
        <w:right w:val="single" w:sz="8" w:space="0" w:color="FDCF85" w:themeColor="accent1"/>
      </w:tblBorders>
    </w:tblPr>
    <w:tblStylePr w:type="firstRow">
      <w:pPr>
        <w:spacing w:before="0" w:after="0" w:line="240" w:lineRule="auto"/>
      </w:pPr>
      <w:rPr>
        <w:b/>
        <w:bCs/>
        <w:color w:val="FFFFFF" w:themeColor="background1"/>
      </w:rPr>
      <w:tblPr/>
      <w:tcPr>
        <w:shd w:val="clear" w:color="auto" w:fill="FDCF85" w:themeFill="accent1"/>
      </w:tcPr>
    </w:tblStylePr>
    <w:tblStylePr w:type="lastRow">
      <w:pPr>
        <w:spacing w:before="0" w:after="0" w:line="240" w:lineRule="auto"/>
      </w:pPr>
      <w:rPr>
        <w:b/>
        <w:bCs/>
      </w:rPr>
      <w:tblPr/>
      <w:tcPr>
        <w:tcBorders>
          <w:top w:val="double" w:sz="6" w:space="0" w:color="FDCF85" w:themeColor="accent1"/>
          <w:left w:val="single" w:sz="8" w:space="0" w:color="FDCF85" w:themeColor="accent1"/>
          <w:bottom w:val="single" w:sz="8" w:space="0" w:color="FDCF85" w:themeColor="accent1"/>
          <w:right w:val="single" w:sz="8" w:space="0" w:color="FDCF85" w:themeColor="accent1"/>
        </w:tcBorders>
      </w:tcPr>
    </w:tblStylePr>
    <w:tblStylePr w:type="firstCol">
      <w:rPr>
        <w:b/>
        <w:bCs/>
      </w:rPr>
    </w:tblStylePr>
    <w:tblStylePr w:type="lastCol">
      <w:rPr>
        <w:b/>
        <w:bCs/>
      </w:rPr>
    </w:tblStylePr>
    <w:tblStylePr w:type="band1Vert">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tblStylePr w:type="band1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style>
  <w:style w:type="table" w:styleId="LightList-Accent2">
    <w:name w:val="Light List Accent 2"/>
    <w:basedOn w:val="TableNormal"/>
    <w:uiPriority w:val="61"/>
    <w:rsid w:val="00FE755D"/>
    <w:pPr>
      <w:spacing w:after="0" w:line="240" w:lineRule="auto"/>
    </w:pPr>
    <w:tblPr>
      <w:tblStyleRowBandSize w:val="1"/>
      <w:tblStyleColBandSize w:val="1"/>
      <w:tblBorders>
        <w:top w:val="single" w:sz="8" w:space="0" w:color="FAB02F" w:themeColor="accent2"/>
        <w:left w:val="single" w:sz="8" w:space="0" w:color="FAB02F" w:themeColor="accent2"/>
        <w:bottom w:val="single" w:sz="8" w:space="0" w:color="FAB02F" w:themeColor="accent2"/>
        <w:right w:val="single" w:sz="8" w:space="0" w:color="FAB02F" w:themeColor="accent2"/>
      </w:tblBorders>
    </w:tblPr>
    <w:tblStylePr w:type="firstRow">
      <w:pPr>
        <w:spacing w:before="0" w:after="0" w:line="240" w:lineRule="auto"/>
      </w:pPr>
      <w:rPr>
        <w:b/>
        <w:bCs/>
        <w:color w:val="FFFFFF" w:themeColor="background1"/>
      </w:rPr>
      <w:tblPr/>
      <w:tcPr>
        <w:shd w:val="clear" w:color="auto" w:fill="FAB02F" w:themeFill="accent2"/>
      </w:tcPr>
    </w:tblStylePr>
    <w:tblStylePr w:type="lastRow">
      <w:pPr>
        <w:spacing w:before="0" w:after="0" w:line="240" w:lineRule="auto"/>
      </w:pPr>
      <w:rPr>
        <w:b/>
        <w:bCs/>
      </w:rPr>
      <w:tblPr/>
      <w:tcPr>
        <w:tcBorders>
          <w:top w:val="double" w:sz="6" w:space="0" w:color="FAB02F" w:themeColor="accent2"/>
          <w:left w:val="single" w:sz="8" w:space="0" w:color="FAB02F" w:themeColor="accent2"/>
          <w:bottom w:val="single" w:sz="8" w:space="0" w:color="FAB02F" w:themeColor="accent2"/>
          <w:right w:val="single" w:sz="8" w:space="0" w:color="FAB02F" w:themeColor="accent2"/>
        </w:tcBorders>
      </w:tcPr>
    </w:tblStylePr>
    <w:tblStylePr w:type="firstCol">
      <w:rPr>
        <w:b/>
        <w:bCs/>
      </w:rPr>
    </w:tblStylePr>
    <w:tblStylePr w:type="lastCol">
      <w:rPr>
        <w:b/>
        <w:bCs/>
      </w:rPr>
    </w:tblStylePr>
    <w:tblStylePr w:type="band1Vert">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tblStylePr w:type="band1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style>
  <w:style w:type="table" w:styleId="LightList-Accent3">
    <w:name w:val="Light List Accent 3"/>
    <w:basedOn w:val="TableNormal"/>
    <w:uiPriority w:val="61"/>
    <w:rsid w:val="00FE755D"/>
    <w:pPr>
      <w:spacing w:after="0" w:line="240" w:lineRule="auto"/>
    </w:pPr>
    <w:tblPr>
      <w:tblStyleRowBandSize w:val="1"/>
      <w:tblStyleColBandSize w:val="1"/>
      <w:tblBorders>
        <w:top w:val="single" w:sz="8" w:space="0" w:color="AFC3CB" w:themeColor="accent3"/>
        <w:left w:val="single" w:sz="8" w:space="0" w:color="AFC3CB" w:themeColor="accent3"/>
        <w:bottom w:val="single" w:sz="8" w:space="0" w:color="AFC3CB" w:themeColor="accent3"/>
        <w:right w:val="single" w:sz="8" w:space="0" w:color="AFC3CB" w:themeColor="accent3"/>
      </w:tblBorders>
    </w:tblPr>
    <w:tblStylePr w:type="firstRow">
      <w:pPr>
        <w:spacing w:before="0" w:after="0" w:line="240" w:lineRule="auto"/>
      </w:pPr>
      <w:rPr>
        <w:b/>
        <w:bCs/>
        <w:color w:val="FFFFFF" w:themeColor="background1"/>
      </w:rPr>
      <w:tblPr/>
      <w:tcPr>
        <w:shd w:val="clear" w:color="auto" w:fill="AFC3CB" w:themeFill="accent3"/>
      </w:tcPr>
    </w:tblStylePr>
    <w:tblStylePr w:type="lastRow">
      <w:pPr>
        <w:spacing w:before="0" w:after="0" w:line="240" w:lineRule="auto"/>
      </w:pPr>
      <w:rPr>
        <w:b/>
        <w:bCs/>
      </w:rPr>
      <w:tblPr/>
      <w:tcPr>
        <w:tcBorders>
          <w:top w:val="double" w:sz="6" w:space="0" w:color="AFC3CB" w:themeColor="accent3"/>
          <w:left w:val="single" w:sz="8" w:space="0" w:color="AFC3CB" w:themeColor="accent3"/>
          <w:bottom w:val="single" w:sz="8" w:space="0" w:color="AFC3CB" w:themeColor="accent3"/>
          <w:right w:val="single" w:sz="8" w:space="0" w:color="AFC3CB" w:themeColor="accent3"/>
        </w:tcBorders>
      </w:tcPr>
    </w:tblStylePr>
    <w:tblStylePr w:type="firstCol">
      <w:rPr>
        <w:b/>
        <w:bCs/>
      </w:rPr>
    </w:tblStylePr>
    <w:tblStylePr w:type="lastCol">
      <w:rPr>
        <w:b/>
        <w:bCs/>
      </w:rPr>
    </w:tblStylePr>
    <w:tblStylePr w:type="band1Vert">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tblStylePr w:type="band1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style>
  <w:style w:type="table" w:styleId="LightGrid-Accent3">
    <w:name w:val="Light Grid Accent 3"/>
    <w:basedOn w:val="TableNormal"/>
    <w:uiPriority w:val="62"/>
    <w:rsid w:val="00FE755D"/>
    <w:pPr>
      <w:spacing w:after="0" w:line="240" w:lineRule="auto"/>
    </w:pPr>
    <w:tblPr>
      <w:tblStyleRowBandSize w:val="1"/>
      <w:tblStyleColBandSize w:val="1"/>
      <w:tblBorders>
        <w:top w:val="single" w:sz="8" w:space="0" w:color="AFC3CB" w:themeColor="accent3"/>
        <w:left w:val="single" w:sz="8" w:space="0" w:color="AFC3CB" w:themeColor="accent3"/>
        <w:bottom w:val="single" w:sz="8" w:space="0" w:color="AFC3CB" w:themeColor="accent3"/>
        <w:right w:val="single" w:sz="8" w:space="0" w:color="AFC3CB" w:themeColor="accent3"/>
        <w:insideH w:val="single" w:sz="8" w:space="0" w:color="AFC3CB" w:themeColor="accent3"/>
        <w:insideV w:val="single" w:sz="8" w:space="0" w:color="AFC3C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3CB" w:themeColor="accent3"/>
          <w:left w:val="single" w:sz="8" w:space="0" w:color="AFC3CB" w:themeColor="accent3"/>
          <w:bottom w:val="single" w:sz="18" w:space="0" w:color="AFC3CB" w:themeColor="accent3"/>
          <w:right w:val="single" w:sz="8" w:space="0" w:color="AFC3CB" w:themeColor="accent3"/>
          <w:insideH w:val="nil"/>
          <w:insideV w:val="single" w:sz="8" w:space="0" w:color="AFC3C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3CB" w:themeColor="accent3"/>
          <w:left w:val="single" w:sz="8" w:space="0" w:color="AFC3CB" w:themeColor="accent3"/>
          <w:bottom w:val="single" w:sz="8" w:space="0" w:color="AFC3CB" w:themeColor="accent3"/>
          <w:right w:val="single" w:sz="8" w:space="0" w:color="AFC3CB" w:themeColor="accent3"/>
          <w:insideH w:val="nil"/>
          <w:insideV w:val="single" w:sz="8" w:space="0" w:color="AFC3C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tblStylePr w:type="band1Vert">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shd w:val="clear" w:color="auto" w:fill="EBF0F2" w:themeFill="accent3" w:themeFillTint="3F"/>
      </w:tcPr>
    </w:tblStylePr>
    <w:tblStylePr w:type="band1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insideV w:val="single" w:sz="8" w:space="0" w:color="AFC3CB" w:themeColor="accent3"/>
        </w:tcBorders>
        <w:shd w:val="clear" w:color="auto" w:fill="EBF0F2" w:themeFill="accent3" w:themeFillTint="3F"/>
      </w:tcPr>
    </w:tblStylePr>
    <w:tblStylePr w:type="band2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insideV w:val="single" w:sz="8" w:space="0" w:color="AFC3CB" w:themeColor="accent3"/>
        </w:tcBorders>
      </w:tcPr>
    </w:tblStylePr>
  </w:style>
  <w:style w:type="table" w:styleId="LightGrid-Accent2">
    <w:name w:val="Light Grid Accent 2"/>
    <w:basedOn w:val="TableNormal"/>
    <w:uiPriority w:val="62"/>
    <w:rsid w:val="00FE755D"/>
    <w:pPr>
      <w:spacing w:after="0" w:line="240" w:lineRule="auto"/>
    </w:pPr>
    <w:tblPr>
      <w:tblStyleRowBandSize w:val="1"/>
      <w:tblStyleColBandSize w:val="1"/>
      <w:tblBorders>
        <w:top w:val="single" w:sz="8" w:space="0" w:color="FAB02F" w:themeColor="accent2"/>
        <w:left w:val="single" w:sz="8" w:space="0" w:color="FAB02F" w:themeColor="accent2"/>
        <w:bottom w:val="single" w:sz="8" w:space="0" w:color="FAB02F" w:themeColor="accent2"/>
        <w:right w:val="single" w:sz="8" w:space="0" w:color="FAB02F" w:themeColor="accent2"/>
        <w:insideH w:val="single" w:sz="8" w:space="0" w:color="FAB02F" w:themeColor="accent2"/>
        <w:insideV w:val="single" w:sz="8" w:space="0" w:color="FAB0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02F" w:themeColor="accent2"/>
          <w:left w:val="single" w:sz="8" w:space="0" w:color="FAB02F" w:themeColor="accent2"/>
          <w:bottom w:val="single" w:sz="18" w:space="0" w:color="FAB02F" w:themeColor="accent2"/>
          <w:right w:val="single" w:sz="8" w:space="0" w:color="FAB02F" w:themeColor="accent2"/>
          <w:insideH w:val="nil"/>
          <w:insideV w:val="single" w:sz="8" w:space="0" w:color="FAB02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02F" w:themeColor="accent2"/>
          <w:left w:val="single" w:sz="8" w:space="0" w:color="FAB02F" w:themeColor="accent2"/>
          <w:bottom w:val="single" w:sz="8" w:space="0" w:color="FAB02F" w:themeColor="accent2"/>
          <w:right w:val="single" w:sz="8" w:space="0" w:color="FAB02F" w:themeColor="accent2"/>
          <w:insideH w:val="nil"/>
          <w:insideV w:val="single" w:sz="8" w:space="0" w:color="FAB02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tblStylePr w:type="band1Vert">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shd w:val="clear" w:color="auto" w:fill="FDEBCB" w:themeFill="accent2" w:themeFillTint="3F"/>
      </w:tcPr>
    </w:tblStylePr>
    <w:tblStylePr w:type="band1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insideV w:val="single" w:sz="8" w:space="0" w:color="FAB02F" w:themeColor="accent2"/>
        </w:tcBorders>
        <w:shd w:val="clear" w:color="auto" w:fill="FDEBCB" w:themeFill="accent2" w:themeFillTint="3F"/>
      </w:tcPr>
    </w:tblStylePr>
    <w:tblStylePr w:type="band2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insideV w:val="single" w:sz="8" w:space="0" w:color="FAB02F" w:themeColor="accent2"/>
        </w:tcBorders>
      </w:tcPr>
    </w:tblStylePr>
  </w:style>
  <w:style w:type="table" w:customStyle="1" w:styleId="LightGrid-Accent11">
    <w:name w:val="Light Grid - Accent 11"/>
    <w:basedOn w:val="TableNormal"/>
    <w:uiPriority w:val="62"/>
    <w:rsid w:val="00FE755D"/>
    <w:pPr>
      <w:spacing w:after="0" w:line="240" w:lineRule="auto"/>
    </w:pPr>
    <w:tblPr>
      <w:tblStyleRowBandSize w:val="1"/>
      <w:tblStyleColBandSize w:val="1"/>
      <w:tblBorders>
        <w:top w:val="single" w:sz="8" w:space="0" w:color="FDCF85" w:themeColor="accent1"/>
        <w:left w:val="single" w:sz="8" w:space="0" w:color="FDCF85" w:themeColor="accent1"/>
        <w:bottom w:val="single" w:sz="8" w:space="0" w:color="FDCF85" w:themeColor="accent1"/>
        <w:right w:val="single" w:sz="8" w:space="0" w:color="FDCF85" w:themeColor="accent1"/>
        <w:insideH w:val="single" w:sz="8" w:space="0" w:color="FDCF85" w:themeColor="accent1"/>
        <w:insideV w:val="single" w:sz="8" w:space="0" w:color="FDCF8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CF85" w:themeColor="accent1"/>
          <w:left w:val="single" w:sz="8" w:space="0" w:color="FDCF85" w:themeColor="accent1"/>
          <w:bottom w:val="single" w:sz="18" w:space="0" w:color="FDCF85" w:themeColor="accent1"/>
          <w:right w:val="single" w:sz="8" w:space="0" w:color="FDCF85" w:themeColor="accent1"/>
          <w:insideH w:val="nil"/>
          <w:insideV w:val="single" w:sz="8" w:space="0" w:color="FDCF8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CF85" w:themeColor="accent1"/>
          <w:left w:val="single" w:sz="8" w:space="0" w:color="FDCF85" w:themeColor="accent1"/>
          <w:bottom w:val="single" w:sz="8" w:space="0" w:color="FDCF85" w:themeColor="accent1"/>
          <w:right w:val="single" w:sz="8" w:space="0" w:color="FDCF85" w:themeColor="accent1"/>
          <w:insideH w:val="nil"/>
          <w:insideV w:val="single" w:sz="8" w:space="0" w:color="FDCF8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tblStylePr w:type="band1Vert">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shd w:val="clear" w:color="auto" w:fill="FEF3E0" w:themeFill="accent1" w:themeFillTint="3F"/>
      </w:tcPr>
    </w:tblStylePr>
    <w:tblStylePr w:type="band1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insideV w:val="single" w:sz="8" w:space="0" w:color="FDCF85" w:themeColor="accent1"/>
        </w:tcBorders>
        <w:shd w:val="clear" w:color="auto" w:fill="FEF3E0" w:themeFill="accent1" w:themeFillTint="3F"/>
      </w:tcPr>
    </w:tblStylePr>
    <w:tblStylePr w:type="band2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insideV w:val="single" w:sz="8" w:space="0" w:color="FDCF85" w:themeColor="accent1"/>
        </w:tcBorders>
      </w:tcPr>
    </w:tblStylePr>
  </w:style>
  <w:style w:type="table" w:customStyle="1" w:styleId="LightGrid1">
    <w:name w:val="Light Grid1"/>
    <w:basedOn w:val="TableNormal"/>
    <w:uiPriority w:val="62"/>
    <w:rsid w:val="00FE75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FE755D"/>
    <w:pPr>
      <w:spacing w:after="0" w:line="240" w:lineRule="auto"/>
    </w:pPr>
    <w:tblPr>
      <w:tblStyleRowBandSize w:val="1"/>
      <w:tblStyleColBandSize w:val="1"/>
      <w:tblBorders>
        <w:top w:val="single" w:sz="8" w:space="0" w:color="FEE3BB" w:themeColor="accent6"/>
        <w:left w:val="single" w:sz="8" w:space="0" w:color="FEE3BB" w:themeColor="accent6"/>
        <w:bottom w:val="single" w:sz="8" w:space="0" w:color="FEE3BB" w:themeColor="accent6"/>
        <w:right w:val="single" w:sz="8" w:space="0" w:color="FEE3BB" w:themeColor="accent6"/>
      </w:tblBorders>
    </w:tblPr>
    <w:tblStylePr w:type="firstRow">
      <w:pPr>
        <w:spacing w:before="0" w:after="0" w:line="240" w:lineRule="auto"/>
      </w:pPr>
      <w:rPr>
        <w:b/>
        <w:bCs/>
        <w:color w:val="FFFFFF" w:themeColor="background1"/>
      </w:rPr>
      <w:tblPr/>
      <w:tcPr>
        <w:shd w:val="clear" w:color="auto" w:fill="FEE3BB" w:themeFill="accent6"/>
      </w:tcPr>
    </w:tblStylePr>
    <w:tblStylePr w:type="lastRow">
      <w:pPr>
        <w:spacing w:before="0" w:after="0" w:line="240" w:lineRule="auto"/>
      </w:pPr>
      <w:rPr>
        <w:b/>
        <w:bCs/>
      </w:rPr>
      <w:tblPr/>
      <w:tcPr>
        <w:tcBorders>
          <w:top w:val="double" w:sz="6" w:space="0" w:color="FEE3BB" w:themeColor="accent6"/>
          <w:left w:val="single" w:sz="8" w:space="0" w:color="FEE3BB" w:themeColor="accent6"/>
          <w:bottom w:val="single" w:sz="8" w:space="0" w:color="FEE3BB" w:themeColor="accent6"/>
          <w:right w:val="single" w:sz="8" w:space="0" w:color="FEE3BB" w:themeColor="accent6"/>
        </w:tcBorders>
      </w:tcPr>
    </w:tblStylePr>
    <w:tblStylePr w:type="firstCol">
      <w:rPr>
        <w:b/>
        <w:bCs/>
      </w:rPr>
    </w:tblStylePr>
    <w:tblStylePr w:type="lastCol">
      <w:rPr>
        <w:b/>
        <w:bCs/>
      </w:rPr>
    </w:tblStylePr>
    <w:tblStylePr w:type="band1Vert">
      <w:tblPr/>
      <w:tcPr>
        <w:tcBorders>
          <w:top w:val="single" w:sz="8" w:space="0" w:color="FEE3BB" w:themeColor="accent6"/>
          <w:left w:val="single" w:sz="8" w:space="0" w:color="FEE3BB" w:themeColor="accent6"/>
          <w:bottom w:val="single" w:sz="8" w:space="0" w:color="FEE3BB" w:themeColor="accent6"/>
          <w:right w:val="single" w:sz="8" w:space="0" w:color="FEE3BB" w:themeColor="accent6"/>
        </w:tcBorders>
      </w:tcPr>
    </w:tblStylePr>
    <w:tblStylePr w:type="band1Horz">
      <w:tblPr/>
      <w:tcPr>
        <w:tcBorders>
          <w:top w:val="single" w:sz="8" w:space="0" w:color="FEE3BB" w:themeColor="accent6"/>
          <w:left w:val="single" w:sz="8" w:space="0" w:color="FEE3BB" w:themeColor="accent6"/>
          <w:bottom w:val="single" w:sz="8" w:space="0" w:color="FEE3BB" w:themeColor="accent6"/>
          <w:right w:val="single" w:sz="8" w:space="0" w:color="FEE3BB" w:themeColor="accent6"/>
        </w:tcBorders>
      </w:tcPr>
    </w:tblStylePr>
  </w:style>
  <w:style w:type="table" w:styleId="LightList-Accent5">
    <w:name w:val="Light List Accent 5"/>
    <w:basedOn w:val="TableNormal"/>
    <w:uiPriority w:val="61"/>
    <w:rsid w:val="00FE755D"/>
    <w:pPr>
      <w:spacing w:after="0" w:line="240" w:lineRule="auto"/>
    </w:pPr>
    <w:tblPr>
      <w:tblStyleRowBandSize w:val="1"/>
      <w:tblStyleColBandSize w:val="1"/>
      <w:tblBorders>
        <w:top w:val="single" w:sz="8" w:space="0" w:color="02424C" w:themeColor="accent5"/>
        <w:left w:val="single" w:sz="8" w:space="0" w:color="02424C" w:themeColor="accent5"/>
        <w:bottom w:val="single" w:sz="8" w:space="0" w:color="02424C" w:themeColor="accent5"/>
        <w:right w:val="single" w:sz="8" w:space="0" w:color="02424C" w:themeColor="accent5"/>
      </w:tblBorders>
    </w:tblPr>
    <w:tblStylePr w:type="firstRow">
      <w:pPr>
        <w:spacing w:before="0" w:after="0" w:line="240" w:lineRule="auto"/>
      </w:pPr>
      <w:rPr>
        <w:b/>
        <w:bCs/>
        <w:color w:val="FFFFFF" w:themeColor="background1"/>
      </w:rPr>
      <w:tblPr/>
      <w:tcPr>
        <w:shd w:val="clear" w:color="auto" w:fill="02424C" w:themeFill="accent5"/>
      </w:tcPr>
    </w:tblStylePr>
    <w:tblStylePr w:type="lastRow">
      <w:pPr>
        <w:spacing w:before="0" w:after="0" w:line="240" w:lineRule="auto"/>
      </w:pPr>
      <w:rPr>
        <w:b/>
        <w:bCs/>
      </w:rPr>
      <w:tblPr/>
      <w:tcPr>
        <w:tcBorders>
          <w:top w:val="double" w:sz="6" w:space="0" w:color="02424C" w:themeColor="accent5"/>
          <w:left w:val="single" w:sz="8" w:space="0" w:color="02424C" w:themeColor="accent5"/>
          <w:bottom w:val="single" w:sz="8" w:space="0" w:color="02424C" w:themeColor="accent5"/>
          <w:right w:val="single" w:sz="8" w:space="0" w:color="02424C" w:themeColor="accent5"/>
        </w:tcBorders>
      </w:tcPr>
    </w:tblStylePr>
    <w:tblStylePr w:type="firstCol">
      <w:rPr>
        <w:b/>
        <w:bCs/>
      </w:rPr>
    </w:tblStylePr>
    <w:tblStylePr w:type="lastCol">
      <w:rPr>
        <w:b/>
        <w:bCs/>
      </w:rPr>
    </w:tblStylePr>
    <w:tblStylePr w:type="band1Vert">
      <w:tblPr/>
      <w:tcPr>
        <w:tcBorders>
          <w:top w:val="single" w:sz="8" w:space="0" w:color="02424C" w:themeColor="accent5"/>
          <w:left w:val="single" w:sz="8" w:space="0" w:color="02424C" w:themeColor="accent5"/>
          <w:bottom w:val="single" w:sz="8" w:space="0" w:color="02424C" w:themeColor="accent5"/>
          <w:right w:val="single" w:sz="8" w:space="0" w:color="02424C" w:themeColor="accent5"/>
        </w:tcBorders>
      </w:tcPr>
    </w:tblStylePr>
    <w:tblStylePr w:type="band1Horz">
      <w:tblPr/>
      <w:tcPr>
        <w:tcBorders>
          <w:top w:val="single" w:sz="8" w:space="0" w:color="02424C" w:themeColor="accent5"/>
          <w:left w:val="single" w:sz="8" w:space="0" w:color="02424C" w:themeColor="accent5"/>
          <w:bottom w:val="single" w:sz="8" w:space="0" w:color="02424C" w:themeColor="accent5"/>
          <w:right w:val="single" w:sz="8" w:space="0" w:color="02424C" w:themeColor="accent5"/>
        </w:tcBorders>
      </w:tcPr>
    </w:tblStylePr>
  </w:style>
  <w:style w:type="table" w:styleId="LightList-Accent4">
    <w:name w:val="Light List Accent 4"/>
    <w:basedOn w:val="TableNormal"/>
    <w:uiPriority w:val="61"/>
    <w:rsid w:val="00FE755D"/>
    <w:pPr>
      <w:spacing w:after="0" w:line="240" w:lineRule="auto"/>
    </w:pPr>
    <w:tblPr>
      <w:tblStyleRowBandSize w:val="1"/>
      <w:tblStyleColBandSize w:val="1"/>
      <w:tblBorders>
        <w:top w:val="single" w:sz="8" w:space="0" w:color="306673" w:themeColor="accent4"/>
        <w:left w:val="single" w:sz="8" w:space="0" w:color="306673" w:themeColor="accent4"/>
        <w:bottom w:val="single" w:sz="8" w:space="0" w:color="306673" w:themeColor="accent4"/>
        <w:right w:val="single" w:sz="8" w:space="0" w:color="306673" w:themeColor="accent4"/>
      </w:tblBorders>
    </w:tblPr>
    <w:tblStylePr w:type="firstRow">
      <w:pPr>
        <w:spacing w:before="0" w:after="0" w:line="240" w:lineRule="auto"/>
      </w:pPr>
      <w:rPr>
        <w:b/>
        <w:bCs/>
        <w:color w:val="FFFFFF" w:themeColor="background1"/>
      </w:rPr>
      <w:tblPr/>
      <w:tcPr>
        <w:shd w:val="clear" w:color="auto" w:fill="306673" w:themeFill="accent4"/>
      </w:tcPr>
    </w:tblStylePr>
    <w:tblStylePr w:type="lastRow">
      <w:pPr>
        <w:spacing w:before="0" w:after="0" w:line="240" w:lineRule="auto"/>
      </w:pPr>
      <w:rPr>
        <w:b/>
        <w:bCs/>
      </w:rPr>
      <w:tblPr/>
      <w:tcPr>
        <w:tcBorders>
          <w:top w:val="double" w:sz="6" w:space="0" w:color="306673" w:themeColor="accent4"/>
          <w:left w:val="single" w:sz="8" w:space="0" w:color="306673" w:themeColor="accent4"/>
          <w:bottom w:val="single" w:sz="8" w:space="0" w:color="306673" w:themeColor="accent4"/>
          <w:right w:val="single" w:sz="8" w:space="0" w:color="306673" w:themeColor="accent4"/>
        </w:tcBorders>
      </w:tcPr>
    </w:tblStylePr>
    <w:tblStylePr w:type="firstCol">
      <w:rPr>
        <w:b/>
        <w:bCs/>
      </w:rPr>
    </w:tblStylePr>
    <w:tblStylePr w:type="lastCol">
      <w:rPr>
        <w:b/>
        <w:bCs/>
      </w:rPr>
    </w:tblStylePr>
    <w:tblStylePr w:type="band1Vert">
      <w:tblPr/>
      <w:tcPr>
        <w:tcBorders>
          <w:top w:val="single" w:sz="8" w:space="0" w:color="306673" w:themeColor="accent4"/>
          <w:left w:val="single" w:sz="8" w:space="0" w:color="306673" w:themeColor="accent4"/>
          <w:bottom w:val="single" w:sz="8" w:space="0" w:color="306673" w:themeColor="accent4"/>
          <w:right w:val="single" w:sz="8" w:space="0" w:color="306673" w:themeColor="accent4"/>
        </w:tcBorders>
      </w:tcPr>
    </w:tblStylePr>
    <w:tblStylePr w:type="band1Horz">
      <w:tblPr/>
      <w:tcPr>
        <w:tcBorders>
          <w:top w:val="single" w:sz="8" w:space="0" w:color="306673" w:themeColor="accent4"/>
          <w:left w:val="single" w:sz="8" w:space="0" w:color="306673" w:themeColor="accent4"/>
          <w:bottom w:val="single" w:sz="8" w:space="0" w:color="306673" w:themeColor="accent4"/>
          <w:right w:val="single" w:sz="8" w:space="0" w:color="306673" w:themeColor="accent4"/>
        </w:tcBorders>
      </w:tcPr>
    </w:tblStylePr>
  </w:style>
  <w:style w:type="paragraph" w:customStyle="1" w:styleId="Default">
    <w:name w:val="Default"/>
    <w:basedOn w:val="Normal"/>
    <w:link w:val="DefaultChar"/>
    <w:rsid w:val="006B6036"/>
    <w:pPr>
      <w:autoSpaceDE w:val="0"/>
      <w:autoSpaceDN w:val="0"/>
      <w:spacing w:line="240" w:lineRule="auto"/>
    </w:pPr>
    <w:rPr>
      <w:rFonts w:ascii="Times New Roman" w:eastAsiaTheme="minorHAnsi" w:hAnsi="Times New Roman" w:cs="Times New Roman"/>
      <w:color w:val="000000"/>
      <w:szCs w:val="24"/>
      <w:lang w:eastAsia="en-US"/>
    </w:rPr>
  </w:style>
  <w:style w:type="character" w:customStyle="1" w:styleId="CaptionChar">
    <w:name w:val="Caption Char"/>
    <w:aliases w:val="Table caption Char,paveikslas Char,Paveikslo pavadinimas Char,TabelOverskrift Char,Char Char Char Char,Caption1 Char Char Char Char Char Char Char Char Char,Caption1 Char Char Char Char Char Char Char Char Tegn Tegn Tegn Tegn Tegn Char"/>
    <w:link w:val="Caption"/>
    <w:rsid w:val="006B6036"/>
    <w:rPr>
      <w:rFonts w:ascii="Cambria" w:hAnsi="Cambria"/>
      <w:b/>
      <w:bCs/>
      <w:szCs w:val="18"/>
    </w:rPr>
  </w:style>
  <w:style w:type="paragraph" w:styleId="NormalWeb">
    <w:name w:val="Normal (Web)"/>
    <w:basedOn w:val="Normal"/>
    <w:uiPriority w:val="99"/>
    <w:semiHidden/>
    <w:unhideWhenUsed/>
    <w:rsid w:val="006B6036"/>
    <w:pPr>
      <w:spacing w:before="100" w:beforeAutospacing="1" w:after="100" w:afterAutospacing="1" w:line="240" w:lineRule="auto"/>
    </w:pPr>
    <w:rPr>
      <w:rFonts w:ascii="Times New Roman" w:hAnsi="Times New Roman" w:cs="Times New Roman"/>
      <w:szCs w:val="24"/>
      <w:lang w:val="en-US" w:eastAsia="en-US"/>
    </w:rPr>
  </w:style>
  <w:style w:type="character" w:customStyle="1" w:styleId="hps">
    <w:name w:val="hps"/>
    <w:rsid w:val="002B0DC2"/>
  </w:style>
  <w:style w:type="character" w:customStyle="1" w:styleId="DefaultChar">
    <w:name w:val="Default Char"/>
    <w:link w:val="Default"/>
    <w:rsid w:val="00DF5A9C"/>
    <w:rPr>
      <w:rFonts w:ascii="Times New Roman" w:eastAsiaTheme="minorHAnsi" w:hAnsi="Times New Roman" w:cs="Times New Roman"/>
      <w:color w:val="000000"/>
      <w:sz w:val="24"/>
      <w:szCs w:val="24"/>
      <w:lang w:eastAsia="en-US"/>
    </w:rPr>
  </w:style>
  <w:style w:type="character" w:customStyle="1" w:styleId="apple-converted-space">
    <w:name w:val="apple-converted-space"/>
    <w:basedOn w:val="DefaultParagraphFont"/>
    <w:rsid w:val="00DF5A9C"/>
  </w:style>
  <w:style w:type="paragraph" w:customStyle="1" w:styleId="Text1">
    <w:name w:val="Text 1"/>
    <w:basedOn w:val="Normal"/>
    <w:link w:val="Text1Char"/>
    <w:rsid w:val="00F130B7"/>
    <w:pPr>
      <w:spacing w:after="240" w:line="240" w:lineRule="auto"/>
      <w:ind w:left="482"/>
      <w:jc w:val="both"/>
    </w:pPr>
    <w:rPr>
      <w:rFonts w:ascii="Times New Roman" w:eastAsia="Times New Roman" w:hAnsi="Times New Roman" w:cs="Times New Roman"/>
      <w:szCs w:val="20"/>
      <w:lang w:val="en-GB" w:eastAsia="en-US"/>
    </w:rPr>
  </w:style>
  <w:style w:type="character" w:customStyle="1" w:styleId="Text1Char">
    <w:name w:val="Text 1 Char"/>
    <w:link w:val="Text1"/>
    <w:locked/>
    <w:rsid w:val="00F130B7"/>
    <w:rPr>
      <w:rFonts w:ascii="Times New Roman" w:eastAsia="Times New Roman" w:hAnsi="Times New Roman" w:cs="Times New Roman"/>
      <w:sz w:val="24"/>
      <w:szCs w:val="20"/>
      <w:lang w:val="en-GB" w:eastAsia="en-US"/>
    </w:rPr>
  </w:style>
  <w:style w:type="character" w:styleId="CommentReference">
    <w:name w:val="annotation reference"/>
    <w:basedOn w:val="DefaultParagraphFont"/>
    <w:uiPriority w:val="99"/>
    <w:semiHidden/>
    <w:unhideWhenUsed/>
    <w:rsid w:val="00495065"/>
    <w:rPr>
      <w:sz w:val="16"/>
      <w:szCs w:val="16"/>
    </w:rPr>
  </w:style>
  <w:style w:type="paragraph" w:styleId="CommentText">
    <w:name w:val="annotation text"/>
    <w:basedOn w:val="Normal"/>
    <w:link w:val="CommentTextChar"/>
    <w:uiPriority w:val="99"/>
    <w:unhideWhenUsed/>
    <w:rsid w:val="00495065"/>
    <w:pPr>
      <w:spacing w:line="240" w:lineRule="auto"/>
    </w:pPr>
    <w:rPr>
      <w:sz w:val="20"/>
      <w:szCs w:val="20"/>
    </w:rPr>
  </w:style>
  <w:style w:type="character" w:customStyle="1" w:styleId="CommentTextChar">
    <w:name w:val="Comment Text Char"/>
    <w:basedOn w:val="DefaultParagraphFont"/>
    <w:link w:val="CommentText"/>
    <w:uiPriority w:val="99"/>
    <w:rsid w:val="004950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495065"/>
    <w:rPr>
      <w:b/>
      <w:bCs/>
    </w:rPr>
  </w:style>
  <w:style w:type="character" w:customStyle="1" w:styleId="CommentSubjectChar">
    <w:name w:val="Comment Subject Char"/>
    <w:basedOn w:val="CommentTextChar"/>
    <w:link w:val="CommentSubject"/>
    <w:uiPriority w:val="99"/>
    <w:semiHidden/>
    <w:rsid w:val="00495065"/>
    <w:rPr>
      <w:rFonts w:ascii="Cambria" w:hAnsi="Cambria"/>
      <w:b/>
      <w:bCs/>
      <w:sz w:val="20"/>
      <w:szCs w:val="20"/>
    </w:rPr>
  </w:style>
  <w:style w:type="table" w:styleId="ColorfulList-Accent2">
    <w:name w:val="Colorful List Accent 2"/>
    <w:basedOn w:val="TableNormal"/>
    <w:uiPriority w:val="72"/>
    <w:rsid w:val="0059500B"/>
    <w:pPr>
      <w:spacing w:after="0" w:line="240" w:lineRule="auto"/>
    </w:pPr>
    <w:rPr>
      <w:color w:val="000000" w:themeColor="text1"/>
    </w:rPr>
    <w:tblPr>
      <w:tblStyleRowBandSize w:val="1"/>
      <w:tblStyleColBandSize w:val="1"/>
    </w:tblPr>
    <w:tcPr>
      <w:shd w:val="clear" w:color="auto" w:fill="FEF7EA" w:themeFill="accent2" w:themeFillTint="19"/>
    </w:tcPr>
    <w:tblStylePr w:type="firstRow">
      <w:rPr>
        <w:b/>
        <w:bCs/>
        <w:color w:val="FFFFFF" w:themeColor="background1"/>
      </w:rPr>
      <w:tblPr/>
      <w:tcPr>
        <w:tcBorders>
          <w:bottom w:val="single" w:sz="12" w:space="0" w:color="FFFFFF" w:themeColor="background1"/>
        </w:tcBorders>
        <w:shd w:val="clear" w:color="auto" w:fill="E79505" w:themeFill="accent2" w:themeFillShade="CC"/>
      </w:tcPr>
    </w:tblStylePr>
    <w:tblStylePr w:type="lastRow">
      <w:rPr>
        <w:b/>
        <w:bCs/>
        <w:color w:val="E79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B" w:themeFill="accent2" w:themeFillTint="3F"/>
      </w:tcPr>
    </w:tblStylePr>
    <w:tblStylePr w:type="band1Horz">
      <w:tblPr/>
      <w:tcPr>
        <w:shd w:val="clear" w:color="auto" w:fill="FEEFD5" w:themeFill="accent2" w:themeFillTint="33"/>
      </w:tcPr>
    </w:tblStylePr>
  </w:style>
  <w:style w:type="paragraph" w:customStyle="1" w:styleId="Sraopastraipa2">
    <w:name w:val="Sąrašo pastraipa2"/>
    <w:basedOn w:val="Normal"/>
    <w:qFormat/>
    <w:rsid w:val="008B5394"/>
    <w:pPr>
      <w:ind w:left="720"/>
      <w:contextualSpacing/>
      <w:jc w:val="both"/>
    </w:pPr>
    <w:rPr>
      <w:rFonts w:ascii="Calibri" w:eastAsia="Calibri" w:hAnsi="Calibri" w:cs="Times New Roman"/>
      <w:sz w:val="22"/>
      <w:lang w:eastAsia="en-US"/>
    </w:rPr>
  </w:style>
  <w:style w:type="table" w:customStyle="1" w:styleId="TableGrid1">
    <w:name w:val="Table Grid1"/>
    <w:basedOn w:val="TableNormal"/>
    <w:next w:val="TableGrid"/>
    <w:uiPriority w:val="59"/>
    <w:rsid w:val="0005317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PVILentele11">
    <w:name w:val="VPVI Lentele 11"/>
    <w:basedOn w:val="TableGrid"/>
    <w:uiPriority w:val="99"/>
    <w:rsid w:val="00053174"/>
    <w:pPr>
      <w:spacing w:line="276" w:lineRule="auto"/>
      <w:contextualSpacing/>
    </w:pPr>
    <w:rPr>
      <w:rFonts w:ascii="Calibri" w:eastAsia="Times New Roman" w:hAnsi="Calibri" w:cs="Times New Roman"/>
      <w:sz w:val="20"/>
      <w:lang w:eastAsia="en-US"/>
    </w:rPr>
    <w:tblPr/>
    <w:tblStylePr w:type="firstRow">
      <w:pPr>
        <w:wordWrap/>
        <w:spacing w:line="276" w:lineRule="auto"/>
        <w:jc w:val="center"/>
      </w:pPr>
      <w:rPr>
        <w:rFonts w:ascii="Calibri" w:hAnsi="Calibri" w:hint="default"/>
        <w:b/>
        <w:sz w:val="22"/>
        <w:szCs w:val="22"/>
      </w:rPr>
      <w:tblPr/>
      <w:tcPr>
        <w:shd w:val="clear" w:color="auto" w:fill="00505E"/>
      </w:tcPr>
    </w:tblStylePr>
    <w:tblStylePr w:type="lastRow">
      <w:pPr>
        <w:wordWrap/>
        <w:spacing w:beforeLines="0" w:beforeAutospacing="1" w:afterLines="0" w:afterAutospacing="1" w:line="276" w:lineRule="auto"/>
        <w:ind w:leftChars="0" w:left="0" w:rightChars="0" w:right="0"/>
        <w:contextualSpacing/>
        <w:jc w:val="left"/>
      </w:pPr>
      <w:rPr>
        <w:rFonts w:ascii="Calibri" w:hAnsi="Calibri" w:hint="default"/>
        <w:sz w:val="18"/>
        <w:szCs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Calibri" w:hAnsi="Calibri" w:hint="default"/>
      </w:rPr>
    </w:tblStylePr>
    <w:tblStylePr w:type="lastCol">
      <w:pPr>
        <w:wordWrap/>
        <w:spacing w:line="276" w:lineRule="auto"/>
        <w:jc w:val="left"/>
      </w:pPr>
      <w:rPr>
        <w:rFonts w:ascii="Calibri" w:hAnsi="Calibri" w:hint="default"/>
      </w:rPr>
    </w:tblStylePr>
    <w:tblStylePr w:type="band1Vert">
      <w:pPr>
        <w:jc w:val="left"/>
      </w:pPr>
      <w:rPr>
        <w:rFonts w:ascii="Calibri" w:hAnsi="Calibri" w:hint="default"/>
      </w:rPr>
    </w:tblStylePr>
    <w:tblStylePr w:type="band2Vert">
      <w:pPr>
        <w:jc w:val="left"/>
      </w:pPr>
      <w:rPr>
        <w:rFonts w:ascii="Calibri" w:hAnsi="Calibri" w:hint="default"/>
      </w:rPr>
    </w:tblStylePr>
    <w:tblStylePr w:type="band1Horz">
      <w:pPr>
        <w:wordWrap/>
        <w:spacing w:beforeLines="0" w:beforeAutospacing="1" w:afterLines="0" w:afterAutospacing="1" w:line="276" w:lineRule="auto"/>
        <w:contextualSpacing/>
        <w:jc w:val="left"/>
      </w:pPr>
      <w:rPr>
        <w:rFonts w:ascii="Calibri" w:hAnsi="Calibri" w:hint="default"/>
        <w:b w:val="0"/>
        <w:sz w:val="20"/>
        <w:szCs w:val="20"/>
      </w:rPr>
      <w:tblPr/>
      <w:tcPr>
        <w:shd w:val="clear" w:color="auto" w:fill="F6E2A3"/>
      </w:tcPr>
    </w:tblStylePr>
    <w:tblStylePr w:type="band2Horz">
      <w:pPr>
        <w:wordWrap/>
        <w:spacing w:beforeLines="0" w:beforeAutospacing="1" w:afterLines="0" w:afterAutospacing="1" w:line="276" w:lineRule="auto"/>
        <w:ind w:firstLineChars="0" w:firstLine="0"/>
        <w:contextualSpacing/>
        <w:jc w:val="left"/>
      </w:pPr>
      <w:rPr>
        <w:rFonts w:ascii="Calibri" w:hAnsi="Calibri" w:hint="default"/>
        <w:b w:val="0"/>
        <w:sz w:val="20"/>
        <w:szCs w:val="20"/>
      </w:rPr>
    </w:tblStylePr>
    <w:tblStylePr w:type="neCell">
      <w:pPr>
        <w:wordWrap/>
        <w:spacing w:beforeLines="0" w:beforeAutospacing="1" w:afterLines="0" w:afterAutospacing="1" w:line="276" w:lineRule="auto"/>
        <w:contextualSpacing/>
        <w:jc w:val="center"/>
      </w:pPr>
      <w:rPr>
        <w:rFonts w:ascii="Calibri" w:hAnsi="Calibri" w:hint="default"/>
        <w:sz w:val="22"/>
        <w:szCs w:val="22"/>
      </w:rPr>
    </w:tblStylePr>
    <w:tblStylePr w:type="nwCell">
      <w:pPr>
        <w:jc w:val="left"/>
      </w:pPr>
      <w:rPr>
        <w:rFonts w:ascii="Calibri" w:hAnsi="Calibri" w:hint="default"/>
      </w:rPr>
    </w:tblStylePr>
    <w:tblStylePr w:type="seCell">
      <w:pPr>
        <w:jc w:val="left"/>
      </w:pPr>
      <w:rPr>
        <w:rFonts w:ascii="Calibri" w:hAnsi="Calibri" w:hint="default"/>
        <w:sz w:val="18"/>
        <w:szCs w:val="18"/>
      </w:rPr>
    </w:tblStylePr>
    <w:tblStylePr w:type="swCell">
      <w:pPr>
        <w:jc w:val="left"/>
      </w:pPr>
      <w:rPr>
        <w:rFonts w:ascii="Calibri" w:hAnsi="Calibri" w:hint="default"/>
        <w:sz w:val="18"/>
        <w:szCs w:val="18"/>
      </w:rPr>
    </w:tblStylePr>
  </w:style>
  <w:style w:type="table" w:customStyle="1" w:styleId="TableGrid2">
    <w:name w:val="Table Grid2"/>
    <w:basedOn w:val="TableNormal"/>
    <w:next w:val="TableGrid"/>
    <w:uiPriority w:val="59"/>
    <w:rsid w:val="0005317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D813C8"/>
    <w:pPr>
      <w:spacing w:before="100" w:beforeAutospacing="1" w:after="100" w:afterAutospacing="1" w:line="240" w:lineRule="auto"/>
    </w:pPr>
    <w:rPr>
      <w:rFonts w:ascii="Times New Roman" w:eastAsia="Times New Roman" w:hAnsi="Times New Roman" w:cs="Times New Roman"/>
      <w:szCs w:val="24"/>
    </w:rPr>
  </w:style>
  <w:style w:type="character" w:styleId="PageNumber">
    <w:name w:val="page number"/>
    <w:basedOn w:val="DefaultParagraphFont"/>
    <w:uiPriority w:val="99"/>
    <w:semiHidden/>
    <w:unhideWhenUsed/>
    <w:rsid w:val="00B6422A"/>
  </w:style>
  <w:style w:type="character" w:styleId="FollowedHyperlink">
    <w:name w:val="FollowedHyperlink"/>
    <w:basedOn w:val="DefaultParagraphFont"/>
    <w:uiPriority w:val="99"/>
    <w:semiHidden/>
    <w:unhideWhenUsed/>
    <w:rsid w:val="00406D19"/>
    <w:rPr>
      <w:color w:val="800080" w:themeColor="followedHyperlink"/>
      <w:u w:val="single"/>
    </w:rPr>
  </w:style>
  <w:style w:type="paragraph" w:customStyle="1" w:styleId="Point0number">
    <w:name w:val="Point 0 (number)"/>
    <w:basedOn w:val="Normal"/>
    <w:rsid w:val="007702D5"/>
    <w:pPr>
      <w:numPr>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1number">
    <w:name w:val="Point 1 (number)"/>
    <w:basedOn w:val="Normal"/>
    <w:rsid w:val="007702D5"/>
    <w:pPr>
      <w:numPr>
        <w:ilvl w:val="2"/>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2number">
    <w:name w:val="Point 2 (number)"/>
    <w:basedOn w:val="Normal"/>
    <w:rsid w:val="007702D5"/>
    <w:pPr>
      <w:numPr>
        <w:ilvl w:val="4"/>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3number">
    <w:name w:val="Point 3 (number)"/>
    <w:basedOn w:val="Normal"/>
    <w:rsid w:val="007702D5"/>
    <w:pPr>
      <w:numPr>
        <w:ilvl w:val="6"/>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0letter">
    <w:name w:val="Point 0 (letter)"/>
    <w:basedOn w:val="Normal"/>
    <w:rsid w:val="007702D5"/>
    <w:pPr>
      <w:numPr>
        <w:ilvl w:val="1"/>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1letter">
    <w:name w:val="Point 1 (letter)"/>
    <w:basedOn w:val="Normal"/>
    <w:rsid w:val="007702D5"/>
    <w:pPr>
      <w:numPr>
        <w:ilvl w:val="3"/>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2letter">
    <w:name w:val="Point 2 (letter)"/>
    <w:basedOn w:val="Normal"/>
    <w:rsid w:val="007702D5"/>
    <w:pPr>
      <w:numPr>
        <w:ilvl w:val="5"/>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3letter">
    <w:name w:val="Point 3 (letter)"/>
    <w:basedOn w:val="Normal"/>
    <w:rsid w:val="007702D5"/>
    <w:pPr>
      <w:numPr>
        <w:ilvl w:val="7"/>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4letter">
    <w:name w:val="Point 4 (letter)"/>
    <w:basedOn w:val="Normal"/>
    <w:rsid w:val="007702D5"/>
    <w:pPr>
      <w:numPr>
        <w:ilvl w:val="8"/>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2">
    <w:name w:val="Point 2"/>
    <w:basedOn w:val="Normal"/>
    <w:rsid w:val="007702D5"/>
    <w:pPr>
      <w:spacing w:before="120" w:after="120" w:line="240" w:lineRule="auto"/>
      <w:ind w:left="1984" w:hanging="567"/>
      <w:jc w:val="both"/>
    </w:pPr>
    <w:rPr>
      <w:rFonts w:ascii="Times New Roman" w:eastAsia="Times New Roman" w:hAnsi="Times New Roman" w:cs="Times New Roman"/>
      <w:szCs w:val="24"/>
      <w:lang w:val="en-GB" w:eastAsia="en-US"/>
    </w:rPr>
  </w:style>
  <w:style w:type="paragraph" w:customStyle="1" w:styleId="CM1">
    <w:name w:val="CM1"/>
    <w:basedOn w:val="Default"/>
    <w:next w:val="Default"/>
    <w:uiPriority w:val="99"/>
    <w:rsid w:val="0046624C"/>
    <w:pPr>
      <w:adjustRightInd w:val="0"/>
    </w:pPr>
    <w:rPr>
      <w:rFonts w:ascii="EUAlbertina" w:eastAsiaTheme="minorEastAsia" w:hAnsi="EUAlbertina" w:cstheme="minorBidi"/>
      <w:color w:val="auto"/>
      <w:lang w:eastAsia="lt-LT"/>
    </w:rPr>
  </w:style>
  <w:style w:type="paragraph" w:customStyle="1" w:styleId="CM3">
    <w:name w:val="CM3"/>
    <w:basedOn w:val="Default"/>
    <w:next w:val="Default"/>
    <w:uiPriority w:val="99"/>
    <w:rsid w:val="0046624C"/>
    <w:pPr>
      <w:adjustRightInd w:val="0"/>
    </w:pPr>
    <w:rPr>
      <w:rFonts w:ascii="EUAlbertina" w:eastAsiaTheme="minorEastAsia" w:hAnsi="EUAlbertina" w:cstheme="minorBidi"/>
      <w:color w:val="auto"/>
      <w:lang w:eastAsia="lt-LT"/>
    </w:rPr>
  </w:style>
  <w:style w:type="character" w:customStyle="1" w:styleId="st">
    <w:name w:val="st"/>
    <w:basedOn w:val="DefaultParagraphFont"/>
    <w:rsid w:val="0074365F"/>
  </w:style>
  <w:style w:type="table" w:customStyle="1" w:styleId="LightShading-Accent12">
    <w:name w:val="Light Shading - Accent 12"/>
    <w:basedOn w:val="TableNormal"/>
    <w:uiPriority w:val="60"/>
    <w:rsid w:val="0070609E"/>
    <w:pPr>
      <w:spacing w:after="0" w:line="240" w:lineRule="auto"/>
    </w:pPr>
    <w:rPr>
      <w:color w:val="FBA925" w:themeColor="accent1" w:themeShade="BF"/>
    </w:rPr>
    <w:tblPr>
      <w:tblStyleRowBandSize w:val="1"/>
      <w:tblStyleColBandSize w:val="1"/>
      <w:tblBorders>
        <w:top w:val="single" w:sz="8" w:space="0" w:color="FDCF85" w:themeColor="accent1"/>
        <w:bottom w:val="single" w:sz="8" w:space="0" w:color="FDCF85" w:themeColor="accent1"/>
      </w:tblBorders>
    </w:tblPr>
    <w:tblStylePr w:type="fir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la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E0" w:themeFill="accent1" w:themeFillTint="3F"/>
      </w:tcPr>
    </w:tblStylePr>
    <w:tblStylePr w:type="band1Horz">
      <w:tblPr/>
      <w:tcPr>
        <w:tcBorders>
          <w:left w:val="nil"/>
          <w:right w:val="nil"/>
          <w:insideH w:val="nil"/>
          <w:insideV w:val="nil"/>
        </w:tcBorders>
        <w:shd w:val="clear" w:color="auto" w:fill="FEF3E0" w:themeFill="accent1" w:themeFillTint="3F"/>
      </w:tcPr>
    </w:tblStylePr>
  </w:style>
  <w:style w:type="table" w:styleId="MediumGrid1-Accent6">
    <w:name w:val="Medium Grid 1 Accent 6"/>
    <w:basedOn w:val="TableNormal"/>
    <w:uiPriority w:val="67"/>
    <w:rsid w:val="0070609E"/>
    <w:pPr>
      <w:spacing w:after="0" w:line="240" w:lineRule="auto"/>
    </w:pPr>
    <w:tblPr>
      <w:tblStyleRowBandSize w:val="1"/>
      <w:tblStyleColBandSize w:val="1"/>
      <w:tblBorders>
        <w:top w:val="single" w:sz="8" w:space="0" w:color="FEE9CB" w:themeColor="accent6" w:themeTint="BF"/>
        <w:left w:val="single" w:sz="8" w:space="0" w:color="FEE9CB" w:themeColor="accent6" w:themeTint="BF"/>
        <w:bottom w:val="single" w:sz="8" w:space="0" w:color="FEE9CB" w:themeColor="accent6" w:themeTint="BF"/>
        <w:right w:val="single" w:sz="8" w:space="0" w:color="FEE9CB" w:themeColor="accent6" w:themeTint="BF"/>
        <w:insideH w:val="single" w:sz="8" w:space="0" w:color="FEE9CB" w:themeColor="accent6" w:themeTint="BF"/>
        <w:insideV w:val="single" w:sz="8" w:space="0" w:color="FEE9CB" w:themeColor="accent6" w:themeTint="BF"/>
      </w:tblBorders>
    </w:tblPr>
    <w:tcPr>
      <w:shd w:val="clear" w:color="auto" w:fill="FEF7ED" w:themeFill="accent6" w:themeFillTint="3F"/>
    </w:tcPr>
    <w:tblStylePr w:type="firstRow">
      <w:rPr>
        <w:b/>
        <w:bCs/>
      </w:rPr>
    </w:tblStylePr>
    <w:tblStylePr w:type="lastRow">
      <w:rPr>
        <w:b/>
        <w:bCs/>
      </w:rPr>
      <w:tblPr/>
      <w:tcPr>
        <w:tcBorders>
          <w:top w:val="single" w:sz="18" w:space="0" w:color="FEE9CB" w:themeColor="accent6" w:themeTint="BF"/>
        </w:tcBorders>
      </w:tcPr>
    </w:tblStylePr>
    <w:tblStylePr w:type="firstCol">
      <w:rPr>
        <w:b/>
        <w:bCs/>
      </w:rPr>
    </w:tblStylePr>
    <w:tblStylePr w:type="lastCol">
      <w:rPr>
        <w:b/>
        <w:bCs/>
      </w:rPr>
    </w:tblStylePr>
    <w:tblStylePr w:type="band1Vert">
      <w:tblPr/>
      <w:tcPr>
        <w:shd w:val="clear" w:color="auto" w:fill="FEF0DC" w:themeFill="accent6" w:themeFillTint="7F"/>
      </w:tcPr>
    </w:tblStylePr>
    <w:tblStylePr w:type="band1Horz">
      <w:tblPr/>
      <w:tcPr>
        <w:shd w:val="clear" w:color="auto" w:fill="FEF0DC" w:themeFill="accent6" w:themeFillTint="7F"/>
      </w:tcPr>
    </w:tblStylePr>
  </w:style>
  <w:style w:type="table" w:styleId="MediumGrid3-Accent6">
    <w:name w:val="Medium Grid 3 Accent 6"/>
    <w:basedOn w:val="TableNormal"/>
    <w:uiPriority w:val="69"/>
    <w:rsid w:val="00706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E3B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E3B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E3B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E3B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0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0DC" w:themeFill="accent6" w:themeFillTint="7F"/>
      </w:tcPr>
    </w:tblStylePr>
  </w:style>
  <w:style w:type="character" w:customStyle="1" w:styleId="Hyperlink1">
    <w:name w:val="Hyperlink1"/>
    <w:basedOn w:val="DefaultParagraphFont"/>
    <w:uiPriority w:val="99"/>
    <w:unhideWhenUsed/>
    <w:rsid w:val="00387B11"/>
    <w:rPr>
      <w:color w:val="0000FF"/>
      <w:u w:val="single"/>
    </w:rPr>
  </w:style>
  <w:style w:type="table" w:styleId="ColorfulList-Accent6">
    <w:name w:val="Colorful List Accent 6"/>
    <w:basedOn w:val="TableNormal"/>
    <w:uiPriority w:val="72"/>
    <w:rsid w:val="006C7E10"/>
    <w:pPr>
      <w:spacing w:after="0" w:line="240" w:lineRule="auto"/>
    </w:pPr>
    <w:rPr>
      <w:rFonts w:eastAsiaTheme="minorHAnsi"/>
      <w:color w:val="000000" w:themeColor="text1"/>
      <w:lang w:eastAsia="en-US"/>
    </w:rPr>
    <w:tblPr>
      <w:tblStyleRowBandSize w:val="1"/>
      <w:tblStyleColBandSize w:val="1"/>
    </w:tblPr>
    <w:tcPr>
      <w:shd w:val="clear" w:color="auto" w:fill="FFFCF8" w:themeFill="accent6" w:themeFillTint="19"/>
    </w:tcPr>
    <w:tblStylePr w:type="firstRow">
      <w:rPr>
        <w:b/>
        <w:bCs/>
        <w:color w:val="FFFFFF" w:themeColor="background1"/>
      </w:rPr>
      <w:tblPr/>
      <w:tcPr>
        <w:tcBorders>
          <w:bottom w:val="single" w:sz="12" w:space="0" w:color="FFFFFF" w:themeColor="background1"/>
        </w:tcBorders>
        <w:shd w:val="clear" w:color="auto" w:fill="01343C" w:themeFill="accent5" w:themeFillShade="CC"/>
      </w:tcPr>
    </w:tblStylePr>
    <w:tblStylePr w:type="lastRow">
      <w:rPr>
        <w:b/>
        <w:bCs/>
        <w:color w:val="0134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ED" w:themeFill="accent6" w:themeFillTint="3F"/>
      </w:tcPr>
    </w:tblStylePr>
    <w:tblStylePr w:type="band1Horz">
      <w:tblPr/>
      <w:tcPr>
        <w:shd w:val="clear" w:color="auto" w:fill="FEF9F1" w:themeFill="accent6" w:themeFillTint="33"/>
      </w:tcPr>
    </w:tblStylePr>
  </w:style>
  <w:style w:type="paragraph" w:styleId="PlainText">
    <w:name w:val="Plain Text"/>
    <w:basedOn w:val="Normal"/>
    <w:link w:val="PlainTextChar"/>
    <w:uiPriority w:val="99"/>
    <w:unhideWhenUsed/>
    <w:rsid w:val="00E17C08"/>
    <w:pPr>
      <w:spacing w:line="240" w:lineRule="auto"/>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E17C08"/>
    <w:rPr>
      <w:rFonts w:ascii="Calibri" w:eastAsiaTheme="minorHAnsi" w:hAnsi="Calibri"/>
      <w:szCs w:val="21"/>
      <w:lang w:eastAsia="en-US"/>
    </w:rPr>
  </w:style>
  <w:style w:type="numbering" w:customStyle="1" w:styleId="StyleBulleted2">
    <w:name w:val="Style Bulleted2"/>
    <w:basedOn w:val="NoList"/>
    <w:rsid w:val="003A3F40"/>
    <w:pPr>
      <w:numPr>
        <w:numId w:val="3"/>
      </w:numPr>
    </w:pPr>
  </w:style>
  <w:style w:type="paragraph" w:styleId="Revision">
    <w:name w:val="Revision"/>
    <w:hidden/>
    <w:uiPriority w:val="99"/>
    <w:semiHidden/>
    <w:rsid w:val="004011AF"/>
    <w:pPr>
      <w:spacing w:after="0" w:line="240" w:lineRule="auto"/>
    </w:pPr>
    <w:rPr>
      <w:rFonts w:ascii="Cambria" w:hAnsi="Cambria"/>
      <w:sz w:val="24"/>
    </w:rPr>
  </w:style>
  <w:style w:type="character" w:customStyle="1" w:styleId="st1">
    <w:name w:val="st1"/>
    <w:basedOn w:val="DefaultParagraphFont"/>
    <w:rsid w:val="00036634"/>
  </w:style>
  <w:style w:type="paragraph" w:styleId="TOC6">
    <w:name w:val="toc 6"/>
    <w:basedOn w:val="Normal"/>
    <w:next w:val="Normal"/>
    <w:autoRedefine/>
    <w:uiPriority w:val="39"/>
    <w:unhideWhenUsed/>
    <w:rsid w:val="002205F1"/>
    <w:pPr>
      <w:spacing w:after="100"/>
      <w:ind w:left="1100"/>
    </w:pPr>
    <w:rPr>
      <w:rFonts w:asciiTheme="minorHAnsi" w:hAnsiTheme="minorHAnsi"/>
      <w:sz w:val="22"/>
    </w:rPr>
  </w:style>
  <w:style w:type="paragraph" w:styleId="TOC7">
    <w:name w:val="toc 7"/>
    <w:basedOn w:val="Normal"/>
    <w:next w:val="Normal"/>
    <w:autoRedefine/>
    <w:uiPriority w:val="39"/>
    <w:unhideWhenUsed/>
    <w:rsid w:val="002205F1"/>
    <w:pPr>
      <w:spacing w:after="100"/>
      <w:ind w:left="1320"/>
    </w:pPr>
    <w:rPr>
      <w:rFonts w:asciiTheme="minorHAnsi" w:hAnsiTheme="minorHAnsi"/>
      <w:sz w:val="22"/>
    </w:rPr>
  </w:style>
  <w:style w:type="paragraph" w:styleId="TOC8">
    <w:name w:val="toc 8"/>
    <w:basedOn w:val="Normal"/>
    <w:next w:val="Normal"/>
    <w:autoRedefine/>
    <w:uiPriority w:val="39"/>
    <w:unhideWhenUsed/>
    <w:rsid w:val="002205F1"/>
    <w:pPr>
      <w:spacing w:after="100"/>
      <w:ind w:left="1540"/>
    </w:pPr>
    <w:rPr>
      <w:rFonts w:asciiTheme="minorHAnsi" w:hAnsiTheme="minorHAnsi"/>
      <w:sz w:val="22"/>
    </w:rPr>
  </w:style>
  <w:style w:type="paragraph" w:styleId="TOC9">
    <w:name w:val="toc 9"/>
    <w:basedOn w:val="Normal"/>
    <w:next w:val="Normal"/>
    <w:autoRedefine/>
    <w:uiPriority w:val="39"/>
    <w:unhideWhenUsed/>
    <w:rsid w:val="002205F1"/>
    <w:pPr>
      <w:spacing w:after="100"/>
      <w:ind w:left="1760"/>
    </w:pPr>
    <w:rPr>
      <w:rFonts w:asciiTheme="minorHAnsi" w:hAnsiTheme="minorHAnsi"/>
      <w:sz w:val="22"/>
    </w:rPr>
  </w:style>
  <w:style w:type="paragraph" w:customStyle="1" w:styleId="CM4">
    <w:name w:val="CM4"/>
    <w:basedOn w:val="Default"/>
    <w:next w:val="Default"/>
    <w:uiPriority w:val="99"/>
    <w:rsid w:val="00596FDB"/>
    <w:pPr>
      <w:adjustRightInd w:val="0"/>
    </w:pPr>
    <w:rPr>
      <w:rFonts w:ascii="EUAlbertina" w:eastAsia="Times New Roman" w:hAnsi="EUAlbertina"/>
      <w:color w:val="auto"/>
      <w:lang w:val="en-US" w:eastAsia="lt-LT"/>
    </w:rPr>
  </w:style>
  <w:style w:type="character" w:customStyle="1" w:styleId="ListParagraphChar">
    <w:name w:val="List Paragraph Char"/>
    <w:link w:val="ListParagraph"/>
    <w:uiPriority w:val="34"/>
    <w:locked/>
    <w:rsid w:val="00596FDB"/>
    <w:rPr>
      <w:rFonts w:ascii="Cambria" w:hAnsi="Cambria"/>
      <w:sz w:val="24"/>
    </w:rPr>
  </w:style>
  <w:style w:type="character" w:customStyle="1" w:styleId="highlight">
    <w:name w:val="highlight"/>
    <w:basedOn w:val="DefaultParagraphFont"/>
    <w:rsid w:val="00F62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8D1"/>
    <w:pPr>
      <w:spacing w:after="0"/>
    </w:pPr>
    <w:rPr>
      <w:rFonts w:ascii="Cambria" w:hAnsi="Cambria"/>
      <w:sz w:val="24"/>
    </w:rPr>
  </w:style>
  <w:style w:type="paragraph" w:styleId="Heading1">
    <w:name w:val="heading 1"/>
    <w:basedOn w:val="Normal"/>
    <w:next w:val="Text"/>
    <w:link w:val="Heading1Char"/>
    <w:uiPriority w:val="9"/>
    <w:qFormat/>
    <w:rsid w:val="00F20D53"/>
    <w:pPr>
      <w:keepNext/>
      <w:keepLines/>
      <w:spacing w:before="240" w:after="480"/>
      <w:outlineLvl w:val="0"/>
    </w:pPr>
    <w:rPr>
      <w:rFonts w:eastAsiaTheme="majorEastAsia" w:cstheme="majorBidi"/>
      <w:bCs/>
      <w:caps/>
      <w:color w:val="175F6E"/>
      <w:sz w:val="45"/>
      <w:szCs w:val="28"/>
    </w:rPr>
  </w:style>
  <w:style w:type="paragraph" w:styleId="Heading2">
    <w:name w:val="heading 2"/>
    <w:basedOn w:val="Heading1"/>
    <w:next w:val="Text"/>
    <w:link w:val="Heading2Char"/>
    <w:uiPriority w:val="9"/>
    <w:unhideWhenUsed/>
    <w:qFormat/>
    <w:rsid w:val="00664CE5"/>
    <w:pPr>
      <w:numPr>
        <w:numId w:val="1"/>
      </w:numPr>
      <w:spacing w:before="200" w:after="360"/>
      <w:outlineLvl w:val="1"/>
    </w:pPr>
    <w:rPr>
      <w:rFonts w:eastAsia="Lucida Sans Unicode"/>
      <w:bCs w:val="0"/>
      <w:color w:val="00505E"/>
      <w:szCs w:val="45"/>
    </w:rPr>
  </w:style>
  <w:style w:type="paragraph" w:styleId="Heading3">
    <w:name w:val="heading 3"/>
    <w:basedOn w:val="Heading2"/>
    <w:next w:val="Text"/>
    <w:link w:val="Heading3Char"/>
    <w:uiPriority w:val="9"/>
    <w:unhideWhenUsed/>
    <w:qFormat/>
    <w:rsid w:val="005058B5"/>
    <w:pPr>
      <w:numPr>
        <w:ilvl w:val="1"/>
      </w:numPr>
      <w:tabs>
        <w:tab w:val="left" w:pos="907"/>
        <w:tab w:val="left" w:pos="1134"/>
        <w:tab w:val="left" w:pos="1361"/>
      </w:tabs>
      <w:spacing w:after="240"/>
      <w:outlineLvl w:val="2"/>
    </w:pPr>
    <w:rPr>
      <w:bCs/>
      <w:caps w:val="0"/>
      <w:sz w:val="26"/>
      <w:szCs w:val="26"/>
    </w:rPr>
  </w:style>
  <w:style w:type="paragraph" w:styleId="Heading4">
    <w:name w:val="heading 4"/>
    <w:basedOn w:val="Heading3"/>
    <w:next w:val="Text"/>
    <w:link w:val="Heading4Char"/>
    <w:uiPriority w:val="9"/>
    <w:unhideWhenUsed/>
    <w:qFormat/>
    <w:rsid w:val="005058B5"/>
    <w:pPr>
      <w:numPr>
        <w:ilvl w:val="2"/>
      </w:numPr>
      <w:outlineLvl w:val="3"/>
    </w:pPr>
  </w:style>
  <w:style w:type="paragraph" w:styleId="Heading5">
    <w:name w:val="heading 5"/>
    <w:basedOn w:val="Heading4"/>
    <w:next w:val="Text"/>
    <w:link w:val="Heading5Char"/>
    <w:uiPriority w:val="9"/>
    <w:unhideWhenUsed/>
    <w:qFormat/>
    <w:rsid w:val="008F5D04"/>
    <w:pPr>
      <w:numPr>
        <w:ilvl w:val="3"/>
      </w:numPr>
      <w:spacing w:after="120"/>
      <w:outlineLvl w:val="4"/>
    </w:pPr>
    <w:rPr>
      <w:rFonts w:eastAsiaTheme="majorEastAsia"/>
      <w:sz w:val="24"/>
    </w:rPr>
  </w:style>
  <w:style w:type="paragraph" w:styleId="Heading6">
    <w:name w:val="heading 6"/>
    <w:basedOn w:val="Normal"/>
    <w:next w:val="Text"/>
    <w:link w:val="Heading6Char"/>
    <w:uiPriority w:val="9"/>
    <w:unhideWhenUsed/>
    <w:qFormat/>
    <w:rsid w:val="00F20D53"/>
    <w:pPr>
      <w:outlineLvl w:val="5"/>
    </w:pPr>
    <w:rPr>
      <w:rFonts w:eastAsiaTheme="majorEastAsia" w:cstheme="majorBidi"/>
      <w:bCs/>
      <w:color w:val="00505E"/>
      <w:szCs w:val="26"/>
    </w:rPr>
  </w:style>
  <w:style w:type="paragraph" w:styleId="Heading7">
    <w:name w:val="heading 7"/>
    <w:basedOn w:val="Text"/>
    <w:next w:val="Text"/>
    <w:link w:val="Heading7Char"/>
    <w:uiPriority w:val="9"/>
    <w:unhideWhenUsed/>
    <w:qFormat/>
    <w:rsid w:val="00F20D53"/>
    <w:pPr>
      <w:spacing w:before="120" w:after="120"/>
      <w:outlineLvl w:val="6"/>
    </w:pPr>
    <w:rPr>
      <w:rFonts w:eastAsiaTheme="majorEastAsia" w:cstheme="majorBidi"/>
      <w:b/>
      <w:iCs/>
      <w:sz w:val="20"/>
    </w:rPr>
  </w:style>
  <w:style w:type="paragraph" w:styleId="Heading8">
    <w:name w:val="heading 8"/>
    <w:basedOn w:val="Normal"/>
    <w:next w:val="Normal"/>
    <w:link w:val="Heading8Char"/>
    <w:uiPriority w:val="9"/>
    <w:unhideWhenUsed/>
    <w:qFormat/>
    <w:rsid w:val="00F20D53"/>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20D53"/>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0D53"/>
    <w:pPr>
      <w:spacing w:after="0"/>
    </w:pPr>
    <w:rPr>
      <w:rFonts w:ascii="Cambria" w:hAnsi="Cambria"/>
      <w:lang w:val="en-US" w:eastAsia="ja-JP"/>
    </w:rPr>
  </w:style>
  <w:style w:type="character" w:customStyle="1" w:styleId="NoSpacingChar">
    <w:name w:val="No Spacing Char"/>
    <w:basedOn w:val="DefaultParagraphFont"/>
    <w:link w:val="NoSpacing"/>
    <w:uiPriority w:val="1"/>
    <w:rsid w:val="00F20D53"/>
    <w:rPr>
      <w:rFonts w:ascii="Cambria" w:hAnsi="Cambria"/>
      <w:lang w:val="en-US" w:eastAsia="ja-JP"/>
    </w:rPr>
  </w:style>
  <w:style w:type="paragraph" w:styleId="BalloonText">
    <w:name w:val="Balloon Text"/>
    <w:basedOn w:val="Normal"/>
    <w:link w:val="BalloonTextChar"/>
    <w:uiPriority w:val="99"/>
    <w:semiHidden/>
    <w:unhideWhenUsed/>
    <w:rsid w:val="00CC0457"/>
    <w:rPr>
      <w:rFonts w:ascii="Tahoma" w:hAnsi="Tahoma" w:cs="Tahoma"/>
      <w:sz w:val="16"/>
      <w:szCs w:val="16"/>
    </w:rPr>
  </w:style>
  <w:style w:type="character" w:customStyle="1" w:styleId="BalloonTextChar">
    <w:name w:val="Balloon Text Char"/>
    <w:basedOn w:val="DefaultParagraphFont"/>
    <w:link w:val="BalloonText"/>
    <w:uiPriority w:val="99"/>
    <w:semiHidden/>
    <w:rsid w:val="00CC0457"/>
    <w:rPr>
      <w:rFonts w:ascii="Tahoma" w:hAnsi="Tahoma" w:cs="Tahoma"/>
      <w:sz w:val="16"/>
      <w:szCs w:val="16"/>
    </w:rPr>
  </w:style>
  <w:style w:type="paragraph" w:styleId="Header">
    <w:name w:val="header"/>
    <w:basedOn w:val="Normal"/>
    <w:link w:val="HeaderChar"/>
    <w:uiPriority w:val="99"/>
    <w:unhideWhenUsed/>
    <w:rsid w:val="00CC0457"/>
    <w:pPr>
      <w:tabs>
        <w:tab w:val="center" w:pos="4819"/>
        <w:tab w:val="right" w:pos="9638"/>
      </w:tabs>
    </w:pPr>
  </w:style>
  <w:style w:type="character" w:customStyle="1" w:styleId="HeaderChar">
    <w:name w:val="Header Char"/>
    <w:basedOn w:val="DefaultParagraphFont"/>
    <w:link w:val="Header"/>
    <w:uiPriority w:val="99"/>
    <w:rsid w:val="00CC0457"/>
  </w:style>
  <w:style w:type="paragraph" w:styleId="Footer">
    <w:name w:val="footer"/>
    <w:basedOn w:val="Normal"/>
    <w:link w:val="FooterChar"/>
    <w:uiPriority w:val="99"/>
    <w:unhideWhenUsed/>
    <w:rsid w:val="00CC0457"/>
    <w:pPr>
      <w:tabs>
        <w:tab w:val="center" w:pos="4819"/>
        <w:tab w:val="right" w:pos="9638"/>
      </w:tabs>
    </w:pPr>
  </w:style>
  <w:style w:type="character" w:customStyle="1" w:styleId="FooterChar">
    <w:name w:val="Footer Char"/>
    <w:basedOn w:val="DefaultParagraphFont"/>
    <w:link w:val="Footer"/>
    <w:uiPriority w:val="99"/>
    <w:rsid w:val="00CC0457"/>
  </w:style>
  <w:style w:type="character" w:styleId="PlaceholderText">
    <w:name w:val="Placeholder Text"/>
    <w:basedOn w:val="DefaultParagraphFont"/>
    <w:uiPriority w:val="99"/>
    <w:semiHidden/>
    <w:rsid w:val="00D47310"/>
    <w:rPr>
      <w:color w:val="808080"/>
    </w:rPr>
  </w:style>
  <w:style w:type="character" w:customStyle="1" w:styleId="Heading1Char">
    <w:name w:val="Heading 1 Char"/>
    <w:basedOn w:val="DefaultParagraphFont"/>
    <w:link w:val="Heading1"/>
    <w:uiPriority w:val="9"/>
    <w:rsid w:val="00F20D53"/>
    <w:rPr>
      <w:rFonts w:ascii="Cambria" w:eastAsiaTheme="majorEastAsia" w:hAnsi="Cambria" w:cstheme="majorBidi"/>
      <w:bCs/>
      <w:caps/>
      <w:color w:val="175F6E"/>
      <w:sz w:val="45"/>
      <w:szCs w:val="28"/>
    </w:rPr>
  </w:style>
  <w:style w:type="character" w:customStyle="1" w:styleId="Heading2Char">
    <w:name w:val="Heading 2 Char"/>
    <w:basedOn w:val="DefaultParagraphFont"/>
    <w:link w:val="Heading2"/>
    <w:uiPriority w:val="9"/>
    <w:rsid w:val="00664CE5"/>
    <w:rPr>
      <w:rFonts w:ascii="Cambria" w:eastAsia="Lucida Sans Unicode" w:hAnsi="Cambria" w:cstheme="majorBidi"/>
      <w:caps/>
      <w:color w:val="00505E"/>
      <w:sz w:val="45"/>
      <w:szCs w:val="45"/>
    </w:rPr>
  </w:style>
  <w:style w:type="character" w:customStyle="1" w:styleId="Heading3Char">
    <w:name w:val="Heading 3 Char"/>
    <w:basedOn w:val="DefaultParagraphFont"/>
    <w:link w:val="Heading3"/>
    <w:uiPriority w:val="9"/>
    <w:rsid w:val="005058B5"/>
    <w:rPr>
      <w:rFonts w:ascii="Cambria" w:eastAsia="Lucida Sans Unicode" w:hAnsi="Cambria" w:cstheme="majorBidi"/>
      <w:bCs/>
      <w:color w:val="00505E"/>
      <w:sz w:val="26"/>
      <w:szCs w:val="26"/>
    </w:rPr>
  </w:style>
  <w:style w:type="paragraph" w:styleId="Subtitle">
    <w:name w:val="Subtitle"/>
    <w:basedOn w:val="Normal"/>
    <w:next w:val="Normal"/>
    <w:link w:val="SubtitleChar"/>
    <w:uiPriority w:val="11"/>
    <w:qFormat/>
    <w:rsid w:val="00F20D53"/>
    <w:pPr>
      <w:numPr>
        <w:ilvl w:val="1"/>
      </w:numPr>
    </w:pPr>
    <w:rPr>
      <w:rFonts w:eastAsiaTheme="majorEastAsia" w:cstheme="majorBidi"/>
      <w:iCs/>
      <w:caps/>
      <w:color w:val="175F6E"/>
      <w:spacing w:val="15"/>
      <w:sz w:val="45"/>
      <w:szCs w:val="24"/>
    </w:rPr>
  </w:style>
  <w:style w:type="character" w:customStyle="1" w:styleId="SubtitleChar">
    <w:name w:val="Subtitle Char"/>
    <w:basedOn w:val="DefaultParagraphFont"/>
    <w:link w:val="Subtitle"/>
    <w:uiPriority w:val="11"/>
    <w:rsid w:val="00F20D53"/>
    <w:rPr>
      <w:rFonts w:ascii="Cambria" w:eastAsiaTheme="majorEastAsia" w:hAnsi="Cambria" w:cstheme="majorBidi"/>
      <w:iCs/>
      <w:caps/>
      <w:color w:val="175F6E"/>
      <w:spacing w:val="15"/>
      <w:sz w:val="45"/>
      <w:szCs w:val="24"/>
    </w:rPr>
  </w:style>
  <w:style w:type="paragraph" w:customStyle="1" w:styleId="Subtitlewhite">
    <w:name w:val="Subtitle white"/>
    <w:basedOn w:val="Subtitle"/>
    <w:link w:val="SubtitlewhiteChar"/>
    <w:qFormat/>
    <w:rsid w:val="00F20D53"/>
    <w:rPr>
      <w:color w:val="FFFFFF" w:themeColor="background1"/>
      <w:sz w:val="52"/>
    </w:rPr>
  </w:style>
  <w:style w:type="paragraph" w:styleId="Title">
    <w:name w:val="Title"/>
    <w:basedOn w:val="Normal"/>
    <w:next w:val="Normal"/>
    <w:link w:val="TitleChar"/>
    <w:uiPriority w:val="10"/>
    <w:qFormat/>
    <w:rsid w:val="00F20D53"/>
    <w:pPr>
      <w:contextualSpacing/>
    </w:pPr>
    <w:rPr>
      <w:rFonts w:eastAsiaTheme="majorEastAsia" w:cstheme="majorBidi"/>
      <w:caps/>
      <w:color w:val="175F6E"/>
      <w:spacing w:val="15"/>
      <w:kern w:val="28"/>
      <w:sz w:val="52"/>
      <w:szCs w:val="52"/>
    </w:rPr>
  </w:style>
  <w:style w:type="character" w:customStyle="1" w:styleId="SubtitlewhiteChar">
    <w:name w:val="Subtitle white Char"/>
    <w:basedOn w:val="SubtitleChar"/>
    <w:link w:val="Subtitlewhite"/>
    <w:rsid w:val="00F20D53"/>
    <w:rPr>
      <w:rFonts w:ascii="Cambria" w:eastAsiaTheme="majorEastAsia" w:hAnsi="Cambria" w:cstheme="majorBidi"/>
      <w:iCs/>
      <w:caps/>
      <w:color w:val="FFFFFF" w:themeColor="background1"/>
      <w:spacing w:val="15"/>
      <w:sz w:val="52"/>
      <w:szCs w:val="24"/>
    </w:rPr>
  </w:style>
  <w:style w:type="character" w:customStyle="1" w:styleId="TitleChar">
    <w:name w:val="Title Char"/>
    <w:basedOn w:val="DefaultParagraphFont"/>
    <w:link w:val="Title"/>
    <w:uiPriority w:val="10"/>
    <w:rsid w:val="00F20D53"/>
    <w:rPr>
      <w:rFonts w:ascii="Cambria" w:eastAsiaTheme="majorEastAsia" w:hAnsi="Cambria" w:cstheme="majorBidi"/>
      <w:caps/>
      <w:color w:val="175F6E"/>
      <w:spacing w:val="15"/>
      <w:kern w:val="28"/>
      <w:sz w:val="52"/>
      <w:szCs w:val="52"/>
    </w:rPr>
  </w:style>
  <w:style w:type="paragraph" w:styleId="ListParagraph">
    <w:name w:val="List Paragraph"/>
    <w:basedOn w:val="Normal"/>
    <w:link w:val="ListParagraphChar"/>
    <w:uiPriority w:val="34"/>
    <w:qFormat/>
    <w:rsid w:val="00F20D53"/>
    <w:pPr>
      <w:contextualSpacing/>
    </w:pPr>
  </w:style>
  <w:style w:type="paragraph" w:customStyle="1" w:styleId="Text">
    <w:name w:val="Text"/>
    <w:basedOn w:val="Normal"/>
    <w:link w:val="TextChar"/>
    <w:qFormat/>
    <w:rsid w:val="00BF31CD"/>
    <w:pPr>
      <w:tabs>
        <w:tab w:val="left" w:pos="9600"/>
      </w:tabs>
      <w:spacing w:after="240"/>
      <w:ind w:left="505" w:right="74"/>
      <w:jc w:val="both"/>
    </w:pPr>
    <w:rPr>
      <w:noProof/>
    </w:rPr>
  </w:style>
  <w:style w:type="paragraph" w:customStyle="1" w:styleId="HeaderText">
    <w:name w:val="Header Text"/>
    <w:basedOn w:val="Header"/>
    <w:link w:val="HeaderTextChar"/>
    <w:qFormat/>
    <w:rsid w:val="001E11A2"/>
    <w:pPr>
      <w:tabs>
        <w:tab w:val="clear" w:pos="4819"/>
        <w:tab w:val="clear" w:pos="9638"/>
        <w:tab w:val="right" w:pos="10086"/>
      </w:tabs>
    </w:pPr>
    <w:rPr>
      <w:bCs/>
      <w:caps/>
      <w:color w:val="9A9A9A" w:themeColor="text2"/>
      <w:sz w:val="16"/>
      <w:szCs w:val="28"/>
    </w:rPr>
  </w:style>
  <w:style w:type="character" w:customStyle="1" w:styleId="TextChar">
    <w:name w:val="Text Char"/>
    <w:basedOn w:val="DefaultParagraphFont"/>
    <w:link w:val="Text"/>
    <w:rsid w:val="00BF31CD"/>
    <w:rPr>
      <w:noProof/>
      <w:sz w:val="24"/>
    </w:rPr>
  </w:style>
  <w:style w:type="paragraph" w:customStyle="1" w:styleId="TextWhite">
    <w:name w:val="Text White"/>
    <w:basedOn w:val="Text"/>
    <w:link w:val="TextWhiteChar"/>
    <w:qFormat/>
    <w:rsid w:val="00F20D53"/>
    <w:pPr>
      <w:ind w:left="0"/>
    </w:pPr>
    <w:rPr>
      <w:color w:val="FFFFFF" w:themeColor="background1"/>
      <w:sz w:val="32"/>
    </w:rPr>
  </w:style>
  <w:style w:type="character" w:customStyle="1" w:styleId="HeaderTextChar">
    <w:name w:val="Header Text Char"/>
    <w:basedOn w:val="HeaderChar"/>
    <w:link w:val="HeaderText"/>
    <w:rsid w:val="001E11A2"/>
    <w:rPr>
      <w:bCs/>
      <w:caps/>
      <w:color w:val="9A9A9A" w:themeColor="text2"/>
      <w:sz w:val="16"/>
      <w:szCs w:val="28"/>
    </w:rPr>
  </w:style>
  <w:style w:type="paragraph" w:customStyle="1" w:styleId="TextWhiteUP">
    <w:name w:val="Text White UP"/>
    <w:basedOn w:val="Normal"/>
    <w:link w:val="TextWhiteUPChar"/>
    <w:autoRedefine/>
    <w:qFormat/>
    <w:rsid w:val="00F20D53"/>
    <w:rPr>
      <w:caps/>
      <w:color w:val="FFFFFF" w:themeColor="background1"/>
      <w:sz w:val="32"/>
    </w:rPr>
  </w:style>
  <w:style w:type="character" w:customStyle="1" w:styleId="TextWhiteChar">
    <w:name w:val="Text White Char"/>
    <w:basedOn w:val="DefaultParagraphFont"/>
    <w:link w:val="TextWhite"/>
    <w:rsid w:val="00F20D53"/>
    <w:rPr>
      <w:rFonts w:ascii="Cambria" w:hAnsi="Cambria"/>
      <w:noProof/>
      <w:color w:val="FFFFFF" w:themeColor="background1"/>
      <w:sz w:val="32"/>
    </w:rPr>
  </w:style>
  <w:style w:type="character" w:customStyle="1" w:styleId="TextWhiteUPChar">
    <w:name w:val="Text White UP Char"/>
    <w:basedOn w:val="TextWhiteChar"/>
    <w:link w:val="TextWhiteUP"/>
    <w:rsid w:val="00F20D53"/>
    <w:rPr>
      <w:rFonts w:ascii="Cambria" w:hAnsi="Cambria"/>
      <w:caps/>
      <w:noProof/>
      <w:color w:val="FFFFFF" w:themeColor="background1"/>
      <w:sz w:val="32"/>
    </w:rPr>
  </w:style>
  <w:style w:type="paragraph" w:styleId="TOCHeading">
    <w:name w:val="TOC Heading"/>
    <w:basedOn w:val="Heading1"/>
    <w:next w:val="Normal"/>
    <w:uiPriority w:val="39"/>
    <w:unhideWhenUsed/>
    <w:qFormat/>
    <w:rsid w:val="00C349B6"/>
    <w:pPr>
      <w:spacing w:before="360"/>
      <w:outlineLvl w:val="9"/>
    </w:pPr>
    <w:rPr>
      <w:color w:val="00505E"/>
      <w:lang w:val="en-US" w:eastAsia="ja-JP"/>
    </w:rPr>
  </w:style>
  <w:style w:type="paragraph" w:styleId="TOC1">
    <w:name w:val="toc 1"/>
    <w:basedOn w:val="Normal"/>
    <w:next w:val="Normal"/>
    <w:autoRedefine/>
    <w:uiPriority w:val="39"/>
    <w:unhideWhenUsed/>
    <w:rsid w:val="0017092B"/>
    <w:pPr>
      <w:tabs>
        <w:tab w:val="right" w:leader="dot" w:pos="10076"/>
      </w:tabs>
      <w:spacing w:after="100"/>
    </w:pPr>
    <w:rPr>
      <w:color w:val="343435"/>
      <w:sz w:val="22"/>
    </w:rPr>
  </w:style>
  <w:style w:type="character" w:styleId="Hyperlink">
    <w:name w:val="Hyperlink"/>
    <w:basedOn w:val="DefaultParagraphFont"/>
    <w:uiPriority w:val="99"/>
    <w:unhideWhenUsed/>
    <w:rsid w:val="00333DD6"/>
    <w:rPr>
      <w:color w:val="0000FF" w:themeColor="hyperlink"/>
      <w:u w:val="single"/>
    </w:rPr>
  </w:style>
  <w:style w:type="paragraph" w:styleId="TOC2">
    <w:name w:val="toc 2"/>
    <w:basedOn w:val="Normal"/>
    <w:next w:val="Normal"/>
    <w:autoRedefine/>
    <w:uiPriority w:val="39"/>
    <w:unhideWhenUsed/>
    <w:rsid w:val="008B4B82"/>
    <w:pPr>
      <w:tabs>
        <w:tab w:val="left" w:pos="794"/>
        <w:tab w:val="right" w:leader="dot" w:pos="10076"/>
      </w:tabs>
      <w:spacing w:after="100"/>
    </w:pPr>
    <w:rPr>
      <w:rFonts w:asciiTheme="minorHAnsi" w:hAnsiTheme="minorHAnsi"/>
      <w:bCs/>
      <w:noProof/>
      <w:color w:val="343435"/>
      <w:szCs w:val="24"/>
    </w:rPr>
  </w:style>
  <w:style w:type="character" w:customStyle="1" w:styleId="Heading4Char">
    <w:name w:val="Heading 4 Char"/>
    <w:basedOn w:val="DefaultParagraphFont"/>
    <w:link w:val="Heading4"/>
    <w:uiPriority w:val="9"/>
    <w:rsid w:val="005058B5"/>
    <w:rPr>
      <w:rFonts w:ascii="Cambria" w:eastAsia="Lucida Sans Unicode" w:hAnsi="Cambria" w:cstheme="majorBidi"/>
      <w:bCs/>
      <w:color w:val="00505E"/>
      <w:sz w:val="26"/>
      <w:szCs w:val="26"/>
    </w:rPr>
  </w:style>
  <w:style w:type="paragraph" w:styleId="TOC3">
    <w:name w:val="toc 3"/>
    <w:basedOn w:val="Normal"/>
    <w:next w:val="Normal"/>
    <w:autoRedefine/>
    <w:uiPriority w:val="39"/>
    <w:unhideWhenUsed/>
    <w:rsid w:val="00F20D53"/>
    <w:pPr>
      <w:tabs>
        <w:tab w:val="left" w:pos="1418"/>
        <w:tab w:val="left" w:pos="1531"/>
        <w:tab w:val="right" w:leader="dot" w:pos="10076"/>
      </w:tabs>
      <w:spacing w:after="100"/>
      <w:ind w:left="794"/>
    </w:pPr>
    <w:rPr>
      <w:color w:val="343435"/>
      <w:sz w:val="22"/>
    </w:rPr>
  </w:style>
  <w:style w:type="table" w:styleId="TableGrid">
    <w:name w:val="Table Grid"/>
    <w:basedOn w:val="TableNormal"/>
    <w:uiPriority w:val="59"/>
    <w:rsid w:val="008A2BF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style>
  <w:style w:type="paragraph" w:styleId="Caption">
    <w:name w:val="caption"/>
    <w:aliases w:val="Table caption,paveikslas,Paveikslo pavadinimas,TabelOverskrift,Char Char Char,Caption1 Char Char Char Char Char Char Char Char,Caption1 Char Char Char Char Char Char Char Char Tegn Tegn Tegn Tegn Tegn,Tabelkop"/>
    <w:basedOn w:val="Normal"/>
    <w:next w:val="Normal"/>
    <w:link w:val="CaptionChar"/>
    <w:unhideWhenUsed/>
    <w:qFormat/>
    <w:rsid w:val="00F20D53"/>
    <w:rPr>
      <w:b/>
      <w:bCs/>
      <w:sz w:val="22"/>
      <w:szCs w:val="18"/>
    </w:rPr>
  </w:style>
  <w:style w:type="paragraph" w:styleId="TableofFigures">
    <w:name w:val="table of figures"/>
    <w:basedOn w:val="Normal"/>
    <w:next w:val="Normal"/>
    <w:uiPriority w:val="99"/>
    <w:unhideWhenUsed/>
    <w:rsid w:val="00614BF4"/>
    <w:pPr>
      <w:ind w:left="505"/>
    </w:pPr>
  </w:style>
  <w:style w:type="table" w:styleId="MediumShading1-Accent3">
    <w:name w:val="Medium Shading 1 Accent 3"/>
    <w:basedOn w:val="TableNormal"/>
    <w:uiPriority w:val="63"/>
    <w:rsid w:val="008D7330"/>
    <w:pPr>
      <w:spacing w:after="0" w:line="240" w:lineRule="auto"/>
    </w:pPr>
    <w:tblPr>
      <w:tblStyleRowBandSize w:val="1"/>
      <w:tblStyleColBandSize w:val="1"/>
      <w:tblBorders>
        <w:top w:val="single" w:sz="8"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single" w:sz="8" w:space="0" w:color="C3D1D8" w:themeColor="accent3" w:themeTint="BF"/>
      </w:tblBorders>
    </w:tblPr>
    <w:tblStylePr w:type="firstRow">
      <w:pPr>
        <w:spacing w:before="0" w:after="0" w:line="240" w:lineRule="auto"/>
      </w:pPr>
      <w:rPr>
        <w:b/>
        <w:bCs/>
        <w:color w:val="FFFFFF" w:themeColor="background1"/>
      </w:rPr>
      <w:tblPr/>
      <w:tcPr>
        <w:tcBorders>
          <w:top w:val="single" w:sz="8"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nil"/>
          <w:insideV w:val="nil"/>
        </w:tcBorders>
        <w:shd w:val="clear" w:color="auto" w:fill="AFC3CB" w:themeFill="accent3"/>
      </w:tcPr>
    </w:tblStylePr>
    <w:tblStylePr w:type="lastRow">
      <w:pPr>
        <w:spacing w:before="0" w:after="0" w:line="240" w:lineRule="auto"/>
      </w:pPr>
      <w:rPr>
        <w:b/>
        <w:bCs/>
      </w:rPr>
      <w:tblPr/>
      <w:tcPr>
        <w:tcBorders>
          <w:top w:val="double" w:sz="6"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0F2" w:themeFill="accent3" w:themeFillTint="3F"/>
      </w:tcPr>
    </w:tblStylePr>
    <w:tblStylePr w:type="band1Horz">
      <w:tblPr/>
      <w:tcPr>
        <w:tcBorders>
          <w:insideH w:val="nil"/>
          <w:insideV w:val="nil"/>
        </w:tcBorders>
        <w:shd w:val="clear" w:color="auto" w:fill="EBF0F2" w:themeFill="accent3" w:themeFillTint="3F"/>
      </w:tcPr>
    </w:tblStylePr>
    <w:tblStylePr w:type="band2Horz">
      <w:tblPr/>
      <w:tcPr>
        <w:tcBorders>
          <w:insideH w:val="nil"/>
          <w:insideV w:val="nil"/>
        </w:tcBorders>
      </w:tcPr>
    </w:tblStylePr>
  </w:style>
  <w:style w:type="table" w:customStyle="1" w:styleId="VPVILentele1">
    <w:name w:val="VPVI Lentele 1"/>
    <w:basedOn w:val="TableGrid"/>
    <w:uiPriority w:val="99"/>
    <w:rsid w:val="009E49F9"/>
    <w:pPr>
      <w:spacing w:line="276" w:lineRule="auto"/>
      <w:contextualSpacing/>
    </w:pPr>
    <w:rPr>
      <w:sz w:val="20"/>
    </w:rPr>
    <w:tblPr>
      <w:tblInd w:w="142" w:type="dxa"/>
    </w:tblPr>
    <w:tblStylePr w:type="firstRow">
      <w:pPr>
        <w:wordWrap/>
        <w:spacing w:line="276" w:lineRule="auto"/>
        <w:jc w:val="center"/>
      </w:pPr>
      <w:rPr>
        <w:rFonts w:asciiTheme="minorHAnsi" w:hAnsiTheme="minorHAnsi"/>
        <w:b/>
        <w:sz w:val="22"/>
      </w:rPr>
      <w:tblPr/>
      <w:tcPr>
        <w:shd w:val="clear" w:color="auto" w:fill="00505E"/>
      </w:tcPr>
    </w:tblStylePr>
    <w:tblStylePr w:type="lastRow">
      <w:pPr>
        <w:wordWrap/>
        <w:spacing w:beforeLines="0" w:beforeAutospacing="0" w:afterLines="0" w:afterAutospacing="0" w:line="276" w:lineRule="auto"/>
        <w:ind w:leftChars="0" w:left="0" w:rightChars="0" w:right="0"/>
        <w:jc w:val="left"/>
      </w:pPr>
      <w:rPr>
        <w:rFonts w:asciiTheme="minorHAnsi" w:hAnsiTheme="minorHAnsi"/>
        <w:sz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Theme="minorHAnsi" w:hAnsiTheme="minorHAnsi"/>
      </w:rPr>
    </w:tblStylePr>
    <w:tblStylePr w:type="lastCol">
      <w:pPr>
        <w:wordWrap/>
        <w:spacing w:line="276" w:lineRule="auto"/>
        <w:jc w:val="left"/>
      </w:pPr>
      <w:rPr>
        <w:rFonts w:asciiTheme="minorHAnsi" w:hAnsiTheme="minorHAnsi"/>
      </w:rPr>
    </w:tblStylePr>
    <w:tblStylePr w:type="band1Vert">
      <w:pPr>
        <w:jc w:val="left"/>
      </w:pPr>
      <w:rPr>
        <w:rFonts w:asciiTheme="minorHAnsi" w:hAnsiTheme="minorHAnsi"/>
      </w:rPr>
    </w:tblStylePr>
    <w:tblStylePr w:type="band2Vert">
      <w:pPr>
        <w:jc w:val="left"/>
      </w:pPr>
      <w:rPr>
        <w:rFonts w:asciiTheme="minorHAnsi" w:hAnsiTheme="minorHAnsi"/>
      </w:rPr>
    </w:tblStylePr>
    <w:tblStylePr w:type="band1Horz">
      <w:pPr>
        <w:wordWrap/>
        <w:spacing w:beforeLines="0" w:beforeAutospacing="0" w:afterLines="0" w:afterAutospacing="0" w:line="276" w:lineRule="auto"/>
        <w:jc w:val="left"/>
      </w:pPr>
      <w:rPr>
        <w:rFonts w:asciiTheme="minorHAnsi" w:hAnsiTheme="minorHAnsi"/>
        <w:b w:val="0"/>
        <w:sz w:val="20"/>
      </w:rPr>
      <w:tblPr/>
      <w:tcPr>
        <w:shd w:val="clear" w:color="auto" w:fill="F6E2A3"/>
      </w:tcPr>
    </w:tblStylePr>
    <w:tblStylePr w:type="band2Horz">
      <w:pPr>
        <w:wordWrap/>
        <w:spacing w:beforeLines="0" w:beforeAutospacing="0" w:afterLines="0" w:afterAutospacing="0" w:line="276" w:lineRule="auto"/>
        <w:ind w:firstLineChars="0" w:firstLine="0"/>
        <w:jc w:val="left"/>
      </w:pPr>
      <w:rPr>
        <w:rFonts w:asciiTheme="minorHAnsi" w:hAnsiTheme="minorHAnsi"/>
        <w:b w:val="0"/>
        <w:sz w:val="20"/>
      </w:rPr>
    </w:tblStylePr>
    <w:tblStylePr w:type="neCell">
      <w:pPr>
        <w:wordWrap/>
        <w:spacing w:beforeLines="0" w:beforeAutospacing="0" w:afterLines="0" w:afterAutospacing="0" w:line="276" w:lineRule="auto"/>
        <w:contextualSpacing/>
        <w:jc w:val="center"/>
      </w:pPr>
      <w:rPr>
        <w:rFonts w:asciiTheme="minorHAnsi" w:hAnsiTheme="minorHAnsi"/>
        <w:sz w:val="22"/>
      </w:rPr>
    </w:tblStylePr>
    <w:tblStylePr w:type="nwCell">
      <w:pPr>
        <w:jc w:val="left"/>
      </w:pPr>
      <w:rPr>
        <w:rFonts w:asciiTheme="minorHAnsi" w:hAnsiTheme="minorHAnsi"/>
      </w:rPr>
    </w:tblStylePr>
    <w:tblStylePr w:type="seCell">
      <w:pPr>
        <w:jc w:val="left"/>
      </w:pPr>
      <w:rPr>
        <w:rFonts w:asciiTheme="minorHAnsi" w:hAnsiTheme="minorHAnsi"/>
        <w:sz w:val="18"/>
      </w:rPr>
    </w:tblStylePr>
    <w:tblStylePr w:type="swCell">
      <w:pPr>
        <w:jc w:val="left"/>
      </w:pPr>
      <w:rPr>
        <w:rFonts w:asciiTheme="minorHAnsi" w:hAnsiTheme="minorHAnsi"/>
        <w:sz w:val="18"/>
      </w:rPr>
    </w:tblStylePr>
  </w:style>
  <w:style w:type="paragraph" w:styleId="EndnoteText">
    <w:name w:val="endnote text"/>
    <w:basedOn w:val="Normal"/>
    <w:link w:val="EndnoteTextChar"/>
    <w:uiPriority w:val="99"/>
    <w:semiHidden/>
    <w:unhideWhenUsed/>
    <w:rsid w:val="003348FA"/>
    <w:rPr>
      <w:sz w:val="20"/>
      <w:szCs w:val="20"/>
    </w:rPr>
  </w:style>
  <w:style w:type="paragraph" w:customStyle="1" w:styleId="ListParagraph2">
    <w:name w:val="List Paragraph 2"/>
    <w:basedOn w:val="ListParagraph"/>
    <w:qFormat/>
    <w:rsid w:val="00F20D53"/>
    <w:rPr>
      <w:bCs/>
      <w:sz w:val="20"/>
      <w:szCs w:val="20"/>
    </w:rPr>
  </w:style>
  <w:style w:type="character" w:customStyle="1" w:styleId="EndnoteTextChar">
    <w:name w:val="Endnote Text Char"/>
    <w:basedOn w:val="DefaultParagraphFont"/>
    <w:link w:val="EndnoteText"/>
    <w:uiPriority w:val="99"/>
    <w:semiHidden/>
    <w:rsid w:val="003348FA"/>
    <w:rPr>
      <w:sz w:val="20"/>
      <w:szCs w:val="20"/>
    </w:rPr>
  </w:style>
  <w:style w:type="table" w:customStyle="1" w:styleId="VPVILentele2">
    <w:name w:val="VPVI Lentele 2"/>
    <w:basedOn w:val="VPVILentele1"/>
    <w:uiPriority w:val="99"/>
    <w:rsid w:val="009E49F9"/>
    <w:tblPr/>
    <w:tblStylePr w:type="firstRow">
      <w:pPr>
        <w:wordWrap/>
        <w:spacing w:line="276" w:lineRule="auto"/>
        <w:jc w:val="center"/>
      </w:pPr>
      <w:rPr>
        <w:rFonts w:asciiTheme="minorHAnsi" w:hAnsiTheme="minorHAnsi"/>
        <w:b/>
        <w:sz w:val="22"/>
      </w:rPr>
      <w:tblPr/>
      <w:tcPr>
        <w:shd w:val="clear" w:color="auto" w:fill="00505E"/>
      </w:tcPr>
    </w:tblStylePr>
    <w:tblStylePr w:type="lastRow">
      <w:pPr>
        <w:wordWrap/>
        <w:spacing w:beforeLines="0" w:beforeAutospacing="0" w:afterLines="0" w:afterAutospacing="0" w:line="276" w:lineRule="auto"/>
        <w:ind w:leftChars="0" w:left="0" w:rightChars="0" w:right="0"/>
        <w:jc w:val="left"/>
      </w:pPr>
      <w:rPr>
        <w:rFonts w:asciiTheme="minorHAnsi" w:hAnsiTheme="minorHAnsi"/>
        <w:b w:val="0"/>
        <w:sz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Theme="minorHAnsi" w:hAnsiTheme="minorHAnsi"/>
      </w:rPr>
    </w:tblStylePr>
    <w:tblStylePr w:type="lastCol">
      <w:pPr>
        <w:wordWrap/>
        <w:spacing w:line="276" w:lineRule="auto"/>
        <w:jc w:val="left"/>
      </w:pPr>
      <w:rPr>
        <w:rFonts w:asciiTheme="minorHAnsi" w:hAnsiTheme="minorHAnsi"/>
      </w:rPr>
    </w:tblStylePr>
    <w:tblStylePr w:type="band1Vert">
      <w:pPr>
        <w:jc w:val="left"/>
      </w:pPr>
      <w:rPr>
        <w:rFonts w:asciiTheme="minorHAnsi" w:hAnsiTheme="minorHAnsi"/>
      </w:rPr>
    </w:tblStylePr>
    <w:tblStylePr w:type="band2Vert">
      <w:pPr>
        <w:jc w:val="left"/>
      </w:pPr>
      <w:rPr>
        <w:rFonts w:asciiTheme="minorHAnsi" w:hAnsiTheme="minorHAnsi"/>
      </w:rPr>
    </w:tblStylePr>
    <w:tblStylePr w:type="band1Horz">
      <w:pPr>
        <w:wordWrap/>
        <w:spacing w:beforeLines="0" w:beforeAutospacing="0" w:afterLines="0" w:afterAutospacing="0" w:line="276" w:lineRule="auto"/>
        <w:jc w:val="left"/>
      </w:pPr>
      <w:rPr>
        <w:rFonts w:asciiTheme="minorHAnsi" w:hAnsiTheme="minorHAnsi"/>
        <w:b w:val="0"/>
        <w:sz w:val="20"/>
      </w:rPr>
      <w:tblPr/>
      <w:tcPr>
        <w:shd w:val="clear" w:color="auto" w:fill="F6E2A3"/>
      </w:tcPr>
    </w:tblStylePr>
    <w:tblStylePr w:type="band2Horz">
      <w:pPr>
        <w:wordWrap/>
        <w:spacing w:beforeLines="0" w:beforeAutospacing="0" w:afterLines="0" w:afterAutospacing="0" w:line="276" w:lineRule="auto"/>
        <w:ind w:firstLineChars="0" w:firstLine="0"/>
        <w:jc w:val="left"/>
      </w:pPr>
      <w:rPr>
        <w:rFonts w:asciiTheme="minorHAnsi" w:hAnsiTheme="minorHAnsi"/>
        <w:b w:val="0"/>
        <w:sz w:val="20"/>
      </w:rPr>
    </w:tblStylePr>
    <w:tblStylePr w:type="neCell">
      <w:pPr>
        <w:wordWrap/>
        <w:spacing w:beforeLines="0" w:beforeAutospacing="0" w:afterLines="0" w:afterAutospacing="0" w:line="276" w:lineRule="auto"/>
        <w:contextualSpacing/>
        <w:jc w:val="center"/>
      </w:pPr>
      <w:rPr>
        <w:rFonts w:asciiTheme="minorHAnsi" w:hAnsiTheme="minorHAnsi"/>
        <w:sz w:val="22"/>
      </w:rPr>
    </w:tblStylePr>
    <w:tblStylePr w:type="nwCell">
      <w:pPr>
        <w:jc w:val="left"/>
      </w:pPr>
      <w:rPr>
        <w:rFonts w:asciiTheme="minorHAnsi" w:hAnsiTheme="minorHAnsi"/>
      </w:rPr>
    </w:tblStylePr>
    <w:tblStylePr w:type="seCell">
      <w:pPr>
        <w:jc w:val="left"/>
      </w:pPr>
      <w:rPr>
        <w:rFonts w:ascii="Lucida Sans Unicode" w:hAnsi="Lucida Sans Unicode"/>
        <w:sz w:val="18"/>
      </w:rPr>
    </w:tblStylePr>
    <w:tblStylePr w:type="swCell">
      <w:pPr>
        <w:jc w:val="left"/>
      </w:pPr>
      <w:rPr>
        <w:rFonts w:ascii="Lucida Sans Unicode" w:hAnsi="Lucida Sans Unicode"/>
        <w:sz w:val="18"/>
      </w:rPr>
    </w:tblStylePr>
  </w:style>
  <w:style w:type="character" w:customStyle="1" w:styleId="Heading5Char">
    <w:name w:val="Heading 5 Char"/>
    <w:basedOn w:val="DefaultParagraphFont"/>
    <w:link w:val="Heading5"/>
    <w:uiPriority w:val="9"/>
    <w:rsid w:val="005058B5"/>
    <w:rPr>
      <w:rFonts w:ascii="Cambria" w:eastAsiaTheme="majorEastAsia" w:hAnsi="Cambria" w:cstheme="majorBidi"/>
      <w:bCs/>
      <w:color w:val="00505E"/>
      <w:sz w:val="24"/>
      <w:szCs w:val="26"/>
    </w:rPr>
  </w:style>
  <w:style w:type="character" w:customStyle="1" w:styleId="Heading6Char">
    <w:name w:val="Heading 6 Char"/>
    <w:basedOn w:val="DefaultParagraphFont"/>
    <w:link w:val="Heading6"/>
    <w:uiPriority w:val="9"/>
    <w:rsid w:val="00F20D53"/>
    <w:rPr>
      <w:rFonts w:ascii="Cambria" w:eastAsiaTheme="majorEastAsia" w:hAnsi="Cambria" w:cstheme="majorBidi"/>
      <w:bCs/>
      <w:color w:val="00505E"/>
      <w:sz w:val="24"/>
      <w:szCs w:val="26"/>
    </w:rPr>
  </w:style>
  <w:style w:type="paragraph" w:styleId="TOC4">
    <w:name w:val="toc 4"/>
    <w:basedOn w:val="Normal"/>
    <w:next w:val="Normal"/>
    <w:autoRedefine/>
    <w:uiPriority w:val="39"/>
    <w:unhideWhenUsed/>
    <w:rsid w:val="00B6422A"/>
    <w:pPr>
      <w:tabs>
        <w:tab w:val="left" w:pos="2041"/>
        <w:tab w:val="left" w:pos="2155"/>
        <w:tab w:val="right" w:leader="dot" w:pos="10076"/>
      </w:tabs>
      <w:spacing w:after="100"/>
      <w:ind w:left="794"/>
    </w:pPr>
    <w:rPr>
      <w:noProof/>
      <w:color w:val="343435"/>
      <w:sz w:val="22"/>
    </w:rPr>
  </w:style>
  <w:style w:type="paragraph" w:styleId="Index1">
    <w:name w:val="index 1"/>
    <w:basedOn w:val="Normal"/>
    <w:next w:val="Normal"/>
    <w:autoRedefine/>
    <w:uiPriority w:val="99"/>
    <w:semiHidden/>
    <w:unhideWhenUsed/>
    <w:rsid w:val="00427E9A"/>
    <w:pPr>
      <w:ind w:left="240" w:hanging="240"/>
    </w:pPr>
  </w:style>
  <w:style w:type="paragraph" w:styleId="TOC5">
    <w:name w:val="toc 5"/>
    <w:basedOn w:val="Normal"/>
    <w:next w:val="Normal"/>
    <w:autoRedefine/>
    <w:uiPriority w:val="39"/>
    <w:unhideWhenUsed/>
    <w:rsid w:val="00F20D53"/>
    <w:pPr>
      <w:tabs>
        <w:tab w:val="left" w:pos="2722"/>
        <w:tab w:val="left" w:pos="2835"/>
        <w:tab w:val="right" w:leader="dot" w:pos="10076"/>
      </w:tabs>
      <w:spacing w:after="100"/>
      <w:ind w:left="1588"/>
    </w:pPr>
    <w:rPr>
      <w:color w:val="343435"/>
      <w:sz w:val="22"/>
    </w:rPr>
  </w:style>
  <w:style w:type="character" w:customStyle="1" w:styleId="Heading7Char">
    <w:name w:val="Heading 7 Char"/>
    <w:basedOn w:val="DefaultParagraphFont"/>
    <w:link w:val="Heading7"/>
    <w:uiPriority w:val="9"/>
    <w:rsid w:val="00F20D53"/>
    <w:rPr>
      <w:rFonts w:ascii="Cambria" w:eastAsiaTheme="majorEastAsia" w:hAnsi="Cambria" w:cstheme="majorBidi"/>
      <w:b/>
      <w:iCs/>
      <w:noProof/>
      <w:sz w:val="20"/>
    </w:rPr>
  </w:style>
  <w:style w:type="character" w:styleId="IntenseEmphasis">
    <w:name w:val="Intense Emphasis"/>
    <w:basedOn w:val="DefaultParagraphFont"/>
    <w:uiPriority w:val="21"/>
    <w:qFormat/>
    <w:rsid w:val="00B71153"/>
    <w:rPr>
      <w:b/>
      <w:bCs/>
      <w:i/>
      <w:iCs/>
      <w:color w:val="175F6E"/>
    </w:rPr>
  </w:style>
  <w:style w:type="paragraph" w:styleId="IntenseQuote">
    <w:name w:val="Intense Quote"/>
    <w:basedOn w:val="Normal"/>
    <w:next w:val="Normal"/>
    <w:link w:val="IntenseQuoteChar"/>
    <w:uiPriority w:val="30"/>
    <w:qFormat/>
    <w:rsid w:val="00B71153"/>
    <w:pPr>
      <w:pBdr>
        <w:bottom w:val="single" w:sz="4" w:space="4" w:color="175F6E"/>
      </w:pBdr>
      <w:spacing w:before="200" w:after="280"/>
      <w:ind w:left="936" w:right="936"/>
    </w:pPr>
    <w:rPr>
      <w:b/>
      <w:bCs/>
      <w:i/>
      <w:iCs/>
      <w:color w:val="175F6E"/>
    </w:rPr>
  </w:style>
  <w:style w:type="character" w:customStyle="1" w:styleId="IntenseQuoteChar">
    <w:name w:val="Intense Quote Char"/>
    <w:basedOn w:val="DefaultParagraphFont"/>
    <w:link w:val="IntenseQuote"/>
    <w:uiPriority w:val="30"/>
    <w:rsid w:val="00B71153"/>
    <w:rPr>
      <w:b/>
      <w:bCs/>
      <w:i/>
      <w:iCs/>
      <w:color w:val="175F6E"/>
      <w:sz w:val="24"/>
    </w:rPr>
  </w:style>
  <w:style w:type="character" w:styleId="SubtleReference">
    <w:name w:val="Subtle Reference"/>
    <w:basedOn w:val="DefaultParagraphFont"/>
    <w:uiPriority w:val="31"/>
    <w:qFormat/>
    <w:rsid w:val="00B71153"/>
    <w:rPr>
      <w:smallCaps/>
      <w:color w:val="175F6E"/>
      <w:u w:val="single"/>
    </w:rPr>
  </w:style>
  <w:style w:type="character" w:styleId="IntenseReference">
    <w:name w:val="Intense Reference"/>
    <w:basedOn w:val="DefaultParagraphFont"/>
    <w:uiPriority w:val="32"/>
    <w:qFormat/>
    <w:rsid w:val="00B71153"/>
    <w:rPr>
      <w:b/>
      <w:bCs/>
      <w:smallCaps/>
      <w:color w:val="175F6E"/>
      <w:spacing w:val="5"/>
      <w:u w:val="single"/>
    </w:rPr>
  </w:style>
  <w:style w:type="paragraph" w:styleId="FootnoteText">
    <w:name w:val="footnote text"/>
    <w:aliases w:val="Footnote Text Char Char,Footnote,Footnote Text Char Char Char Char Char Char,Footnote Text Char Char Char Char Char,Footnote text,fn,Footnote Text Blue,Footnote Text Blue Char Char Char Char,stile 1,Footnote1,Footnote2,Footnote3"/>
    <w:basedOn w:val="Normal"/>
    <w:link w:val="FootnoteTextChar"/>
    <w:uiPriority w:val="99"/>
    <w:unhideWhenUsed/>
    <w:qFormat/>
    <w:rsid w:val="00120F42"/>
    <w:rPr>
      <w:sz w:val="20"/>
      <w:szCs w:val="20"/>
    </w:rPr>
  </w:style>
  <w:style w:type="character" w:customStyle="1" w:styleId="FootnoteTextChar">
    <w:name w:val="Footnote Text Char"/>
    <w:aliases w:val="Footnote Text Char Char Char,Footnote Char,Footnote Text Char Char Char Char Char Char Char,Footnote Text Char Char Char Char Char Char1,Footnote text Char,fn Char,Footnote Text Blue Char,Footnote Text Blue Char Char Char Char Char"/>
    <w:basedOn w:val="DefaultParagraphFont"/>
    <w:link w:val="FootnoteText"/>
    <w:uiPriority w:val="99"/>
    <w:rsid w:val="00120F42"/>
    <w:rPr>
      <w:sz w:val="20"/>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SUPER"/>
    <w:basedOn w:val="DefaultParagraphFont"/>
    <w:uiPriority w:val="99"/>
    <w:unhideWhenUsed/>
    <w:qFormat/>
    <w:rsid w:val="00120F42"/>
    <w:rPr>
      <w:vertAlign w:val="superscript"/>
    </w:rPr>
  </w:style>
  <w:style w:type="character" w:styleId="EndnoteReference">
    <w:name w:val="endnote reference"/>
    <w:basedOn w:val="DefaultParagraphFont"/>
    <w:uiPriority w:val="99"/>
    <w:semiHidden/>
    <w:unhideWhenUsed/>
    <w:rsid w:val="003348FA"/>
    <w:rPr>
      <w:vertAlign w:val="superscript"/>
    </w:rPr>
  </w:style>
  <w:style w:type="table" w:customStyle="1" w:styleId="LightShading1">
    <w:name w:val="Light Shading1"/>
    <w:basedOn w:val="TableNormal"/>
    <w:uiPriority w:val="60"/>
    <w:rsid w:val="005901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403156"/>
    <w:pPr>
      <w:spacing w:after="0" w:line="240" w:lineRule="auto"/>
    </w:pPr>
    <w:rPr>
      <w:color w:val="7597A5" w:themeColor="accent3" w:themeShade="BF"/>
    </w:rPr>
    <w:tblPr>
      <w:tblStyleRowBandSize w:val="1"/>
      <w:tblStyleColBandSize w:val="1"/>
      <w:tblBorders>
        <w:top w:val="single" w:sz="8" w:space="0" w:color="AFC3CB" w:themeColor="accent3"/>
        <w:bottom w:val="single" w:sz="8" w:space="0" w:color="AFC3CB" w:themeColor="accent3"/>
      </w:tblBorders>
    </w:tblPr>
    <w:tblStylePr w:type="firstRow">
      <w:pPr>
        <w:spacing w:before="0" w:after="0" w:line="240" w:lineRule="auto"/>
      </w:pPr>
      <w:rPr>
        <w:b/>
        <w:bCs/>
      </w:rPr>
      <w:tblPr/>
      <w:tcPr>
        <w:tcBorders>
          <w:top w:val="single" w:sz="8" w:space="0" w:color="AFC3CB" w:themeColor="accent3"/>
          <w:left w:val="nil"/>
          <w:bottom w:val="single" w:sz="8" w:space="0" w:color="AFC3CB" w:themeColor="accent3"/>
          <w:right w:val="nil"/>
          <w:insideH w:val="nil"/>
          <w:insideV w:val="nil"/>
        </w:tcBorders>
      </w:tcPr>
    </w:tblStylePr>
    <w:tblStylePr w:type="lastRow">
      <w:pPr>
        <w:spacing w:before="0" w:after="0" w:line="240" w:lineRule="auto"/>
      </w:pPr>
      <w:rPr>
        <w:b/>
        <w:bCs/>
      </w:rPr>
      <w:tblPr/>
      <w:tcPr>
        <w:tcBorders>
          <w:top w:val="single" w:sz="8" w:space="0" w:color="AFC3CB" w:themeColor="accent3"/>
          <w:left w:val="nil"/>
          <w:bottom w:val="single" w:sz="8" w:space="0" w:color="AFC3C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F2" w:themeFill="accent3" w:themeFillTint="3F"/>
      </w:tcPr>
    </w:tblStylePr>
    <w:tblStylePr w:type="band1Horz">
      <w:tblPr/>
      <w:tcPr>
        <w:tcBorders>
          <w:left w:val="nil"/>
          <w:right w:val="nil"/>
          <w:insideH w:val="nil"/>
          <w:insideV w:val="nil"/>
        </w:tcBorders>
        <w:shd w:val="clear" w:color="auto" w:fill="EBF0F2" w:themeFill="accent3" w:themeFillTint="3F"/>
      </w:tcPr>
    </w:tblStylePr>
  </w:style>
  <w:style w:type="character" w:customStyle="1" w:styleId="Heading8Char">
    <w:name w:val="Heading 8 Char"/>
    <w:basedOn w:val="DefaultParagraphFont"/>
    <w:link w:val="Heading8"/>
    <w:uiPriority w:val="9"/>
    <w:rsid w:val="00F20D53"/>
    <w:rPr>
      <w:rFonts w:ascii="Cambria" w:eastAsiaTheme="majorEastAsia" w:hAnsi="Cambri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20D53"/>
    <w:rPr>
      <w:rFonts w:ascii="Cambria" w:eastAsiaTheme="majorEastAsia" w:hAnsi="Cambria" w:cstheme="majorBidi"/>
      <w:i/>
      <w:iCs/>
      <w:color w:val="404040" w:themeColor="text1" w:themeTint="BF"/>
      <w:sz w:val="20"/>
      <w:szCs w:val="20"/>
    </w:rPr>
  </w:style>
  <w:style w:type="character" w:styleId="SubtleEmphasis">
    <w:name w:val="Subtle Emphasis"/>
    <w:basedOn w:val="DefaultParagraphFont"/>
    <w:uiPriority w:val="19"/>
    <w:qFormat/>
    <w:rsid w:val="00F20D53"/>
    <w:rPr>
      <w:i/>
      <w:iCs/>
      <w:color w:val="808080" w:themeColor="text1" w:themeTint="7F"/>
    </w:rPr>
  </w:style>
  <w:style w:type="character" w:styleId="Emphasis">
    <w:name w:val="Emphasis"/>
    <w:basedOn w:val="DefaultParagraphFont"/>
    <w:uiPriority w:val="20"/>
    <w:qFormat/>
    <w:rsid w:val="00F20D53"/>
    <w:rPr>
      <w:i/>
      <w:iCs/>
    </w:rPr>
  </w:style>
  <w:style w:type="character" w:styleId="Strong">
    <w:name w:val="Strong"/>
    <w:basedOn w:val="DefaultParagraphFont"/>
    <w:uiPriority w:val="22"/>
    <w:qFormat/>
    <w:rsid w:val="00F20D53"/>
    <w:rPr>
      <w:b/>
      <w:bCs/>
    </w:rPr>
  </w:style>
  <w:style w:type="paragraph" w:styleId="Quote">
    <w:name w:val="Quote"/>
    <w:basedOn w:val="Normal"/>
    <w:next w:val="Normal"/>
    <w:link w:val="QuoteChar"/>
    <w:uiPriority w:val="29"/>
    <w:qFormat/>
    <w:rsid w:val="00F20D53"/>
    <w:rPr>
      <w:i/>
      <w:iCs/>
      <w:color w:val="000000" w:themeColor="text1"/>
    </w:rPr>
  </w:style>
  <w:style w:type="character" w:customStyle="1" w:styleId="QuoteChar">
    <w:name w:val="Quote Char"/>
    <w:basedOn w:val="DefaultParagraphFont"/>
    <w:link w:val="Quote"/>
    <w:uiPriority w:val="29"/>
    <w:rsid w:val="00F20D53"/>
    <w:rPr>
      <w:rFonts w:ascii="Cambria" w:hAnsi="Cambria"/>
      <w:i/>
      <w:iCs/>
      <w:color w:val="000000" w:themeColor="text1"/>
      <w:sz w:val="24"/>
    </w:rPr>
  </w:style>
  <w:style w:type="character" w:styleId="BookTitle">
    <w:name w:val="Book Title"/>
    <w:basedOn w:val="DefaultParagraphFont"/>
    <w:uiPriority w:val="33"/>
    <w:qFormat/>
    <w:rsid w:val="00F20D53"/>
    <w:rPr>
      <w:b/>
      <w:bCs/>
      <w:smallCaps/>
      <w:spacing w:val="5"/>
    </w:rPr>
  </w:style>
  <w:style w:type="table" w:customStyle="1" w:styleId="LightShading-Accent11">
    <w:name w:val="Light Shading - Accent 11"/>
    <w:basedOn w:val="TableNormal"/>
    <w:uiPriority w:val="60"/>
    <w:rsid w:val="008A2BFC"/>
    <w:pPr>
      <w:spacing w:after="0" w:line="240" w:lineRule="auto"/>
    </w:pPr>
    <w:rPr>
      <w:color w:val="FBA925" w:themeColor="accent1" w:themeShade="BF"/>
    </w:rPr>
    <w:tblPr>
      <w:tblStyleRowBandSize w:val="1"/>
      <w:tblStyleColBandSize w:val="1"/>
      <w:tblBorders>
        <w:top w:val="single" w:sz="8" w:space="0" w:color="FDCF85" w:themeColor="accent1"/>
        <w:bottom w:val="single" w:sz="8" w:space="0" w:color="FDCF85" w:themeColor="accent1"/>
      </w:tblBorders>
    </w:tblPr>
    <w:tblStylePr w:type="fir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la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E0" w:themeFill="accent1" w:themeFillTint="3F"/>
      </w:tcPr>
    </w:tblStylePr>
    <w:tblStylePr w:type="band1Horz">
      <w:tblPr/>
      <w:tcPr>
        <w:tcBorders>
          <w:left w:val="nil"/>
          <w:right w:val="nil"/>
          <w:insideH w:val="nil"/>
          <w:insideV w:val="nil"/>
        </w:tcBorders>
        <w:shd w:val="clear" w:color="auto" w:fill="FEF3E0" w:themeFill="accent1" w:themeFillTint="3F"/>
      </w:tcPr>
    </w:tblStylePr>
  </w:style>
  <w:style w:type="table" w:styleId="LightShading-Accent2">
    <w:name w:val="Light Shading Accent 2"/>
    <w:basedOn w:val="TableNormal"/>
    <w:uiPriority w:val="60"/>
    <w:rsid w:val="00FE755D"/>
    <w:pPr>
      <w:spacing w:after="0" w:line="240" w:lineRule="auto"/>
    </w:pPr>
    <w:rPr>
      <w:color w:val="D98B05" w:themeColor="accent2" w:themeShade="BF"/>
    </w:rPr>
    <w:tblPr>
      <w:tblStyleRowBandSize w:val="1"/>
      <w:tblStyleColBandSize w:val="1"/>
      <w:tblBorders>
        <w:top w:val="single" w:sz="8" w:space="0" w:color="FAB02F" w:themeColor="accent2"/>
        <w:bottom w:val="single" w:sz="8" w:space="0" w:color="FAB02F" w:themeColor="accent2"/>
      </w:tblBorders>
    </w:tblPr>
    <w:tblStylePr w:type="firstRow">
      <w:pPr>
        <w:spacing w:before="0" w:after="0" w:line="240" w:lineRule="auto"/>
      </w:pPr>
      <w:rPr>
        <w:b/>
        <w:bCs/>
      </w:rPr>
      <w:tblPr/>
      <w:tcPr>
        <w:tcBorders>
          <w:top w:val="single" w:sz="8" w:space="0" w:color="FAB02F" w:themeColor="accent2"/>
          <w:left w:val="nil"/>
          <w:bottom w:val="single" w:sz="8" w:space="0" w:color="FAB02F" w:themeColor="accent2"/>
          <w:right w:val="nil"/>
          <w:insideH w:val="nil"/>
          <w:insideV w:val="nil"/>
        </w:tcBorders>
      </w:tcPr>
    </w:tblStylePr>
    <w:tblStylePr w:type="lastRow">
      <w:pPr>
        <w:spacing w:before="0" w:after="0" w:line="240" w:lineRule="auto"/>
      </w:pPr>
      <w:rPr>
        <w:b/>
        <w:bCs/>
      </w:rPr>
      <w:tblPr/>
      <w:tcPr>
        <w:tcBorders>
          <w:top w:val="single" w:sz="8" w:space="0" w:color="FAB02F" w:themeColor="accent2"/>
          <w:left w:val="nil"/>
          <w:bottom w:val="single" w:sz="8" w:space="0" w:color="FAB0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B" w:themeFill="accent2" w:themeFillTint="3F"/>
      </w:tcPr>
    </w:tblStylePr>
    <w:tblStylePr w:type="band1Horz">
      <w:tblPr/>
      <w:tcPr>
        <w:tcBorders>
          <w:left w:val="nil"/>
          <w:right w:val="nil"/>
          <w:insideH w:val="nil"/>
          <w:insideV w:val="nil"/>
        </w:tcBorders>
        <w:shd w:val="clear" w:color="auto" w:fill="FDEBCB" w:themeFill="accent2" w:themeFillTint="3F"/>
      </w:tcPr>
    </w:tblStylePr>
  </w:style>
  <w:style w:type="table" w:styleId="LightShading-Accent4">
    <w:name w:val="Light Shading Accent 4"/>
    <w:basedOn w:val="TableNormal"/>
    <w:uiPriority w:val="60"/>
    <w:rsid w:val="00FE755D"/>
    <w:pPr>
      <w:spacing w:after="0" w:line="240" w:lineRule="auto"/>
    </w:pPr>
    <w:rPr>
      <w:color w:val="244C56" w:themeColor="accent4" w:themeShade="BF"/>
    </w:rPr>
    <w:tblPr>
      <w:tblStyleRowBandSize w:val="1"/>
      <w:tblStyleColBandSize w:val="1"/>
      <w:tblBorders>
        <w:top w:val="single" w:sz="8" w:space="0" w:color="306673" w:themeColor="accent4"/>
        <w:bottom w:val="single" w:sz="8" w:space="0" w:color="306673" w:themeColor="accent4"/>
      </w:tblBorders>
    </w:tblPr>
    <w:tblStylePr w:type="firstRow">
      <w:pPr>
        <w:spacing w:before="0" w:after="0" w:line="240" w:lineRule="auto"/>
      </w:pPr>
      <w:rPr>
        <w:b/>
        <w:bCs/>
      </w:rPr>
      <w:tblPr/>
      <w:tcPr>
        <w:tcBorders>
          <w:top w:val="single" w:sz="8" w:space="0" w:color="306673" w:themeColor="accent4"/>
          <w:left w:val="nil"/>
          <w:bottom w:val="single" w:sz="8" w:space="0" w:color="306673" w:themeColor="accent4"/>
          <w:right w:val="nil"/>
          <w:insideH w:val="nil"/>
          <w:insideV w:val="nil"/>
        </w:tcBorders>
      </w:tcPr>
    </w:tblStylePr>
    <w:tblStylePr w:type="lastRow">
      <w:pPr>
        <w:spacing w:before="0" w:after="0" w:line="240" w:lineRule="auto"/>
      </w:pPr>
      <w:rPr>
        <w:b/>
        <w:bCs/>
      </w:rPr>
      <w:tblPr/>
      <w:tcPr>
        <w:tcBorders>
          <w:top w:val="single" w:sz="8" w:space="0" w:color="306673" w:themeColor="accent4"/>
          <w:left w:val="nil"/>
          <w:bottom w:val="single" w:sz="8" w:space="0" w:color="3066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EE5" w:themeFill="accent4" w:themeFillTint="3F"/>
      </w:tcPr>
    </w:tblStylePr>
    <w:tblStylePr w:type="band1Horz">
      <w:tblPr/>
      <w:tcPr>
        <w:tcBorders>
          <w:left w:val="nil"/>
          <w:right w:val="nil"/>
          <w:insideH w:val="nil"/>
          <w:insideV w:val="nil"/>
        </w:tcBorders>
        <w:shd w:val="clear" w:color="auto" w:fill="C2DEE5" w:themeFill="accent4" w:themeFillTint="3F"/>
      </w:tcPr>
    </w:tblStylePr>
  </w:style>
  <w:style w:type="table" w:styleId="LightShading-Accent5">
    <w:name w:val="Light Shading Accent 5"/>
    <w:basedOn w:val="TableNormal"/>
    <w:uiPriority w:val="60"/>
    <w:rsid w:val="00FE755D"/>
    <w:pPr>
      <w:spacing w:after="0" w:line="240" w:lineRule="auto"/>
    </w:pPr>
    <w:rPr>
      <w:color w:val="013138" w:themeColor="accent5" w:themeShade="BF"/>
    </w:rPr>
    <w:tblPr>
      <w:tblStyleRowBandSize w:val="1"/>
      <w:tblStyleColBandSize w:val="1"/>
      <w:tblBorders>
        <w:top w:val="single" w:sz="8" w:space="0" w:color="02424C" w:themeColor="accent5"/>
        <w:bottom w:val="single" w:sz="8" w:space="0" w:color="02424C" w:themeColor="accent5"/>
      </w:tblBorders>
    </w:tblPr>
    <w:tblStylePr w:type="firstRow">
      <w:pPr>
        <w:spacing w:before="0" w:after="0" w:line="240" w:lineRule="auto"/>
      </w:pPr>
      <w:rPr>
        <w:b/>
        <w:bCs/>
      </w:rPr>
      <w:tblPr/>
      <w:tcPr>
        <w:tcBorders>
          <w:top w:val="single" w:sz="8" w:space="0" w:color="02424C" w:themeColor="accent5"/>
          <w:left w:val="nil"/>
          <w:bottom w:val="single" w:sz="8" w:space="0" w:color="02424C" w:themeColor="accent5"/>
          <w:right w:val="nil"/>
          <w:insideH w:val="nil"/>
          <w:insideV w:val="nil"/>
        </w:tcBorders>
      </w:tcPr>
    </w:tblStylePr>
    <w:tblStylePr w:type="lastRow">
      <w:pPr>
        <w:spacing w:before="0" w:after="0" w:line="240" w:lineRule="auto"/>
      </w:pPr>
      <w:rPr>
        <w:b/>
        <w:bCs/>
      </w:rPr>
      <w:tblPr/>
      <w:tcPr>
        <w:tcBorders>
          <w:top w:val="single" w:sz="8" w:space="0" w:color="02424C" w:themeColor="accent5"/>
          <w:left w:val="nil"/>
          <w:bottom w:val="single" w:sz="8" w:space="0" w:color="0242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EEFC" w:themeFill="accent5" w:themeFillTint="3F"/>
      </w:tcPr>
    </w:tblStylePr>
    <w:tblStylePr w:type="band1Horz">
      <w:tblPr/>
      <w:tcPr>
        <w:tcBorders>
          <w:left w:val="nil"/>
          <w:right w:val="nil"/>
          <w:insideH w:val="nil"/>
          <w:insideV w:val="nil"/>
        </w:tcBorders>
        <w:shd w:val="clear" w:color="auto" w:fill="96EEFC" w:themeFill="accent5" w:themeFillTint="3F"/>
      </w:tcPr>
    </w:tblStylePr>
  </w:style>
  <w:style w:type="table" w:styleId="LightShading-Accent6">
    <w:name w:val="Light Shading Accent 6"/>
    <w:basedOn w:val="TableNormal"/>
    <w:uiPriority w:val="60"/>
    <w:rsid w:val="00FE755D"/>
    <w:pPr>
      <w:spacing w:after="0" w:line="240" w:lineRule="auto"/>
    </w:pPr>
    <w:rPr>
      <w:color w:val="FCB54D" w:themeColor="accent6" w:themeShade="BF"/>
    </w:rPr>
    <w:tblPr>
      <w:tblStyleRowBandSize w:val="1"/>
      <w:tblStyleColBandSize w:val="1"/>
      <w:tblBorders>
        <w:top w:val="single" w:sz="8" w:space="0" w:color="FEE3BB" w:themeColor="accent6"/>
        <w:bottom w:val="single" w:sz="8" w:space="0" w:color="FEE3BB" w:themeColor="accent6"/>
      </w:tblBorders>
    </w:tblPr>
    <w:tblStylePr w:type="firstRow">
      <w:pPr>
        <w:spacing w:before="0" w:after="0" w:line="240" w:lineRule="auto"/>
      </w:pPr>
      <w:rPr>
        <w:b/>
        <w:bCs/>
      </w:rPr>
      <w:tblPr/>
      <w:tcPr>
        <w:tcBorders>
          <w:top w:val="single" w:sz="8" w:space="0" w:color="FEE3BB" w:themeColor="accent6"/>
          <w:left w:val="nil"/>
          <w:bottom w:val="single" w:sz="8" w:space="0" w:color="FEE3BB" w:themeColor="accent6"/>
          <w:right w:val="nil"/>
          <w:insideH w:val="nil"/>
          <w:insideV w:val="nil"/>
        </w:tcBorders>
      </w:tcPr>
    </w:tblStylePr>
    <w:tblStylePr w:type="lastRow">
      <w:pPr>
        <w:spacing w:before="0" w:after="0" w:line="240" w:lineRule="auto"/>
      </w:pPr>
      <w:rPr>
        <w:b/>
        <w:bCs/>
      </w:rPr>
      <w:tblPr/>
      <w:tcPr>
        <w:tcBorders>
          <w:top w:val="single" w:sz="8" w:space="0" w:color="FEE3BB" w:themeColor="accent6"/>
          <w:left w:val="nil"/>
          <w:bottom w:val="single" w:sz="8" w:space="0" w:color="FEE3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ED" w:themeFill="accent6" w:themeFillTint="3F"/>
      </w:tcPr>
    </w:tblStylePr>
    <w:tblStylePr w:type="band1Horz">
      <w:tblPr/>
      <w:tcPr>
        <w:tcBorders>
          <w:left w:val="nil"/>
          <w:right w:val="nil"/>
          <w:insideH w:val="nil"/>
          <w:insideV w:val="nil"/>
        </w:tcBorders>
        <w:shd w:val="clear" w:color="auto" w:fill="FEF7ED" w:themeFill="accent6" w:themeFillTint="3F"/>
      </w:tcPr>
    </w:tblStylePr>
  </w:style>
  <w:style w:type="table" w:customStyle="1" w:styleId="LightList1">
    <w:name w:val="Light List1"/>
    <w:basedOn w:val="TableNormal"/>
    <w:uiPriority w:val="61"/>
    <w:rsid w:val="00FE75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E755D"/>
    <w:pPr>
      <w:spacing w:after="0" w:line="240" w:lineRule="auto"/>
    </w:pPr>
    <w:tblPr>
      <w:tblStyleRowBandSize w:val="1"/>
      <w:tblStyleColBandSize w:val="1"/>
      <w:tblBorders>
        <w:top w:val="single" w:sz="8" w:space="0" w:color="FDCF85" w:themeColor="accent1"/>
        <w:left w:val="single" w:sz="8" w:space="0" w:color="FDCF85" w:themeColor="accent1"/>
        <w:bottom w:val="single" w:sz="8" w:space="0" w:color="FDCF85" w:themeColor="accent1"/>
        <w:right w:val="single" w:sz="8" w:space="0" w:color="FDCF85" w:themeColor="accent1"/>
      </w:tblBorders>
    </w:tblPr>
    <w:tblStylePr w:type="firstRow">
      <w:pPr>
        <w:spacing w:before="0" w:after="0" w:line="240" w:lineRule="auto"/>
      </w:pPr>
      <w:rPr>
        <w:b/>
        <w:bCs/>
        <w:color w:val="FFFFFF" w:themeColor="background1"/>
      </w:rPr>
      <w:tblPr/>
      <w:tcPr>
        <w:shd w:val="clear" w:color="auto" w:fill="FDCF85" w:themeFill="accent1"/>
      </w:tcPr>
    </w:tblStylePr>
    <w:tblStylePr w:type="lastRow">
      <w:pPr>
        <w:spacing w:before="0" w:after="0" w:line="240" w:lineRule="auto"/>
      </w:pPr>
      <w:rPr>
        <w:b/>
        <w:bCs/>
      </w:rPr>
      <w:tblPr/>
      <w:tcPr>
        <w:tcBorders>
          <w:top w:val="double" w:sz="6" w:space="0" w:color="FDCF85" w:themeColor="accent1"/>
          <w:left w:val="single" w:sz="8" w:space="0" w:color="FDCF85" w:themeColor="accent1"/>
          <w:bottom w:val="single" w:sz="8" w:space="0" w:color="FDCF85" w:themeColor="accent1"/>
          <w:right w:val="single" w:sz="8" w:space="0" w:color="FDCF85" w:themeColor="accent1"/>
        </w:tcBorders>
      </w:tcPr>
    </w:tblStylePr>
    <w:tblStylePr w:type="firstCol">
      <w:rPr>
        <w:b/>
        <w:bCs/>
      </w:rPr>
    </w:tblStylePr>
    <w:tblStylePr w:type="lastCol">
      <w:rPr>
        <w:b/>
        <w:bCs/>
      </w:rPr>
    </w:tblStylePr>
    <w:tblStylePr w:type="band1Vert">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tblStylePr w:type="band1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style>
  <w:style w:type="table" w:styleId="LightList-Accent2">
    <w:name w:val="Light List Accent 2"/>
    <w:basedOn w:val="TableNormal"/>
    <w:uiPriority w:val="61"/>
    <w:rsid w:val="00FE755D"/>
    <w:pPr>
      <w:spacing w:after="0" w:line="240" w:lineRule="auto"/>
    </w:pPr>
    <w:tblPr>
      <w:tblStyleRowBandSize w:val="1"/>
      <w:tblStyleColBandSize w:val="1"/>
      <w:tblBorders>
        <w:top w:val="single" w:sz="8" w:space="0" w:color="FAB02F" w:themeColor="accent2"/>
        <w:left w:val="single" w:sz="8" w:space="0" w:color="FAB02F" w:themeColor="accent2"/>
        <w:bottom w:val="single" w:sz="8" w:space="0" w:color="FAB02F" w:themeColor="accent2"/>
        <w:right w:val="single" w:sz="8" w:space="0" w:color="FAB02F" w:themeColor="accent2"/>
      </w:tblBorders>
    </w:tblPr>
    <w:tblStylePr w:type="firstRow">
      <w:pPr>
        <w:spacing w:before="0" w:after="0" w:line="240" w:lineRule="auto"/>
      </w:pPr>
      <w:rPr>
        <w:b/>
        <w:bCs/>
        <w:color w:val="FFFFFF" w:themeColor="background1"/>
      </w:rPr>
      <w:tblPr/>
      <w:tcPr>
        <w:shd w:val="clear" w:color="auto" w:fill="FAB02F" w:themeFill="accent2"/>
      </w:tcPr>
    </w:tblStylePr>
    <w:tblStylePr w:type="lastRow">
      <w:pPr>
        <w:spacing w:before="0" w:after="0" w:line="240" w:lineRule="auto"/>
      </w:pPr>
      <w:rPr>
        <w:b/>
        <w:bCs/>
      </w:rPr>
      <w:tblPr/>
      <w:tcPr>
        <w:tcBorders>
          <w:top w:val="double" w:sz="6" w:space="0" w:color="FAB02F" w:themeColor="accent2"/>
          <w:left w:val="single" w:sz="8" w:space="0" w:color="FAB02F" w:themeColor="accent2"/>
          <w:bottom w:val="single" w:sz="8" w:space="0" w:color="FAB02F" w:themeColor="accent2"/>
          <w:right w:val="single" w:sz="8" w:space="0" w:color="FAB02F" w:themeColor="accent2"/>
        </w:tcBorders>
      </w:tcPr>
    </w:tblStylePr>
    <w:tblStylePr w:type="firstCol">
      <w:rPr>
        <w:b/>
        <w:bCs/>
      </w:rPr>
    </w:tblStylePr>
    <w:tblStylePr w:type="lastCol">
      <w:rPr>
        <w:b/>
        <w:bCs/>
      </w:rPr>
    </w:tblStylePr>
    <w:tblStylePr w:type="band1Vert">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tblStylePr w:type="band1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style>
  <w:style w:type="table" w:styleId="LightList-Accent3">
    <w:name w:val="Light List Accent 3"/>
    <w:basedOn w:val="TableNormal"/>
    <w:uiPriority w:val="61"/>
    <w:rsid w:val="00FE755D"/>
    <w:pPr>
      <w:spacing w:after="0" w:line="240" w:lineRule="auto"/>
    </w:pPr>
    <w:tblPr>
      <w:tblStyleRowBandSize w:val="1"/>
      <w:tblStyleColBandSize w:val="1"/>
      <w:tblBorders>
        <w:top w:val="single" w:sz="8" w:space="0" w:color="AFC3CB" w:themeColor="accent3"/>
        <w:left w:val="single" w:sz="8" w:space="0" w:color="AFC3CB" w:themeColor="accent3"/>
        <w:bottom w:val="single" w:sz="8" w:space="0" w:color="AFC3CB" w:themeColor="accent3"/>
        <w:right w:val="single" w:sz="8" w:space="0" w:color="AFC3CB" w:themeColor="accent3"/>
      </w:tblBorders>
    </w:tblPr>
    <w:tblStylePr w:type="firstRow">
      <w:pPr>
        <w:spacing w:before="0" w:after="0" w:line="240" w:lineRule="auto"/>
      </w:pPr>
      <w:rPr>
        <w:b/>
        <w:bCs/>
        <w:color w:val="FFFFFF" w:themeColor="background1"/>
      </w:rPr>
      <w:tblPr/>
      <w:tcPr>
        <w:shd w:val="clear" w:color="auto" w:fill="AFC3CB" w:themeFill="accent3"/>
      </w:tcPr>
    </w:tblStylePr>
    <w:tblStylePr w:type="lastRow">
      <w:pPr>
        <w:spacing w:before="0" w:after="0" w:line="240" w:lineRule="auto"/>
      </w:pPr>
      <w:rPr>
        <w:b/>
        <w:bCs/>
      </w:rPr>
      <w:tblPr/>
      <w:tcPr>
        <w:tcBorders>
          <w:top w:val="double" w:sz="6" w:space="0" w:color="AFC3CB" w:themeColor="accent3"/>
          <w:left w:val="single" w:sz="8" w:space="0" w:color="AFC3CB" w:themeColor="accent3"/>
          <w:bottom w:val="single" w:sz="8" w:space="0" w:color="AFC3CB" w:themeColor="accent3"/>
          <w:right w:val="single" w:sz="8" w:space="0" w:color="AFC3CB" w:themeColor="accent3"/>
        </w:tcBorders>
      </w:tcPr>
    </w:tblStylePr>
    <w:tblStylePr w:type="firstCol">
      <w:rPr>
        <w:b/>
        <w:bCs/>
      </w:rPr>
    </w:tblStylePr>
    <w:tblStylePr w:type="lastCol">
      <w:rPr>
        <w:b/>
        <w:bCs/>
      </w:rPr>
    </w:tblStylePr>
    <w:tblStylePr w:type="band1Vert">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tblStylePr w:type="band1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style>
  <w:style w:type="table" w:styleId="LightGrid-Accent3">
    <w:name w:val="Light Grid Accent 3"/>
    <w:basedOn w:val="TableNormal"/>
    <w:uiPriority w:val="62"/>
    <w:rsid w:val="00FE755D"/>
    <w:pPr>
      <w:spacing w:after="0" w:line="240" w:lineRule="auto"/>
    </w:pPr>
    <w:tblPr>
      <w:tblStyleRowBandSize w:val="1"/>
      <w:tblStyleColBandSize w:val="1"/>
      <w:tblBorders>
        <w:top w:val="single" w:sz="8" w:space="0" w:color="AFC3CB" w:themeColor="accent3"/>
        <w:left w:val="single" w:sz="8" w:space="0" w:color="AFC3CB" w:themeColor="accent3"/>
        <w:bottom w:val="single" w:sz="8" w:space="0" w:color="AFC3CB" w:themeColor="accent3"/>
        <w:right w:val="single" w:sz="8" w:space="0" w:color="AFC3CB" w:themeColor="accent3"/>
        <w:insideH w:val="single" w:sz="8" w:space="0" w:color="AFC3CB" w:themeColor="accent3"/>
        <w:insideV w:val="single" w:sz="8" w:space="0" w:color="AFC3C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3CB" w:themeColor="accent3"/>
          <w:left w:val="single" w:sz="8" w:space="0" w:color="AFC3CB" w:themeColor="accent3"/>
          <w:bottom w:val="single" w:sz="18" w:space="0" w:color="AFC3CB" w:themeColor="accent3"/>
          <w:right w:val="single" w:sz="8" w:space="0" w:color="AFC3CB" w:themeColor="accent3"/>
          <w:insideH w:val="nil"/>
          <w:insideV w:val="single" w:sz="8" w:space="0" w:color="AFC3C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3CB" w:themeColor="accent3"/>
          <w:left w:val="single" w:sz="8" w:space="0" w:color="AFC3CB" w:themeColor="accent3"/>
          <w:bottom w:val="single" w:sz="8" w:space="0" w:color="AFC3CB" w:themeColor="accent3"/>
          <w:right w:val="single" w:sz="8" w:space="0" w:color="AFC3CB" w:themeColor="accent3"/>
          <w:insideH w:val="nil"/>
          <w:insideV w:val="single" w:sz="8" w:space="0" w:color="AFC3C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tblStylePr w:type="band1Vert">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shd w:val="clear" w:color="auto" w:fill="EBF0F2" w:themeFill="accent3" w:themeFillTint="3F"/>
      </w:tcPr>
    </w:tblStylePr>
    <w:tblStylePr w:type="band1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insideV w:val="single" w:sz="8" w:space="0" w:color="AFC3CB" w:themeColor="accent3"/>
        </w:tcBorders>
        <w:shd w:val="clear" w:color="auto" w:fill="EBF0F2" w:themeFill="accent3" w:themeFillTint="3F"/>
      </w:tcPr>
    </w:tblStylePr>
    <w:tblStylePr w:type="band2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insideV w:val="single" w:sz="8" w:space="0" w:color="AFC3CB" w:themeColor="accent3"/>
        </w:tcBorders>
      </w:tcPr>
    </w:tblStylePr>
  </w:style>
  <w:style w:type="table" w:styleId="LightGrid-Accent2">
    <w:name w:val="Light Grid Accent 2"/>
    <w:basedOn w:val="TableNormal"/>
    <w:uiPriority w:val="62"/>
    <w:rsid w:val="00FE755D"/>
    <w:pPr>
      <w:spacing w:after="0" w:line="240" w:lineRule="auto"/>
    </w:pPr>
    <w:tblPr>
      <w:tblStyleRowBandSize w:val="1"/>
      <w:tblStyleColBandSize w:val="1"/>
      <w:tblBorders>
        <w:top w:val="single" w:sz="8" w:space="0" w:color="FAB02F" w:themeColor="accent2"/>
        <w:left w:val="single" w:sz="8" w:space="0" w:color="FAB02F" w:themeColor="accent2"/>
        <w:bottom w:val="single" w:sz="8" w:space="0" w:color="FAB02F" w:themeColor="accent2"/>
        <w:right w:val="single" w:sz="8" w:space="0" w:color="FAB02F" w:themeColor="accent2"/>
        <w:insideH w:val="single" w:sz="8" w:space="0" w:color="FAB02F" w:themeColor="accent2"/>
        <w:insideV w:val="single" w:sz="8" w:space="0" w:color="FAB0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02F" w:themeColor="accent2"/>
          <w:left w:val="single" w:sz="8" w:space="0" w:color="FAB02F" w:themeColor="accent2"/>
          <w:bottom w:val="single" w:sz="18" w:space="0" w:color="FAB02F" w:themeColor="accent2"/>
          <w:right w:val="single" w:sz="8" w:space="0" w:color="FAB02F" w:themeColor="accent2"/>
          <w:insideH w:val="nil"/>
          <w:insideV w:val="single" w:sz="8" w:space="0" w:color="FAB02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02F" w:themeColor="accent2"/>
          <w:left w:val="single" w:sz="8" w:space="0" w:color="FAB02F" w:themeColor="accent2"/>
          <w:bottom w:val="single" w:sz="8" w:space="0" w:color="FAB02F" w:themeColor="accent2"/>
          <w:right w:val="single" w:sz="8" w:space="0" w:color="FAB02F" w:themeColor="accent2"/>
          <w:insideH w:val="nil"/>
          <w:insideV w:val="single" w:sz="8" w:space="0" w:color="FAB02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tblStylePr w:type="band1Vert">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shd w:val="clear" w:color="auto" w:fill="FDEBCB" w:themeFill="accent2" w:themeFillTint="3F"/>
      </w:tcPr>
    </w:tblStylePr>
    <w:tblStylePr w:type="band1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insideV w:val="single" w:sz="8" w:space="0" w:color="FAB02F" w:themeColor="accent2"/>
        </w:tcBorders>
        <w:shd w:val="clear" w:color="auto" w:fill="FDEBCB" w:themeFill="accent2" w:themeFillTint="3F"/>
      </w:tcPr>
    </w:tblStylePr>
    <w:tblStylePr w:type="band2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insideV w:val="single" w:sz="8" w:space="0" w:color="FAB02F" w:themeColor="accent2"/>
        </w:tcBorders>
      </w:tcPr>
    </w:tblStylePr>
  </w:style>
  <w:style w:type="table" w:customStyle="1" w:styleId="LightGrid-Accent11">
    <w:name w:val="Light Grid - Accent 11"/>
    <w:basedOn w:val="TableNormal"/>
    <w:uiPriority w:val="62"/>
    <w:rsid w:val="00FE755D"/>
    <w:pPr>
      <w:spacing w:after="0" w:line="240" w:lineRule="auto"/>
    </w:pPr>
    <w:tblPr>
      <w:tblStyleRowBandSize w:val="1"/>
      <w:tblStyleColBandSize w:val="1"/>
      <w:tblBorders>
        <w:top w:val="single" w:sz="8" w:space="0" w:color="FDCF85" w:themeColor="accent1"/>
        <w:left w:val="single" w:sz="8" w:space="0" w:color="FDCF85" w:themeColor="accent1"/>
        <w:bottom w:val="single" w:sz="8" w:space="0" w:color="FDCF85" w:themeColor="accent1"/>
        <w:right w:val="single" w:sz="8" w:space="0" w:color="FDCF85" w:themeColor="accent1"/>
        <w:insideH w:val="single" w:sz="8" w:space="0" w:color="FDCF85" w:themeColor="accent1"/>
        <w:insideV w:val="single" w:sz="8" w:space="0" w:color="FDCF8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CF85" w:themeColor="accent1"/>
          <w:left w:val="single" w:sz="8" w:space="0" w:color="FDCF85" w:themeColor="accent1"/>
          <w:bottom w:val="single" w:sz="18" w:space="0" w:color="FDCF85" w:themeColor="accent1"/>
          <w:right w:val="single" w:sz="8" w:space="0" w:color="FDCF85" w:themeColor="accent1"/>
          <w:insideH w:val="nil"/>
          <w:insideV w:val="single" w:sz="8" w:space="0" w:color="FDCF8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CF85" w:themeColor="accent1"/>
          <w:left w:val="single" w:sz="8" w:space="0" w:color="FDCF85" w:themeColor="accent1"/>
          <w:bottom w:val="single" w:sz="8" w:space="0" w:color="FDCF85" w:themeColor="accent1"/>
          <w:right w:val="single" w:sz="8" w:space="0" w:color="FDCF85" w:themeColor="accent1"/>
          <w:insideH w:val="nil"/>
          <w:insideV w:val="single" w:sz="8" w:space="0" w:color="FDCF8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tblStylePr w:type="band1Vert">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shd w:val="clear" w:color="auto" w:fill="FEF3E0" w:themeFill="accent1" w:themeFillTint="3F"/>
      </w:tcPr>
    </w:tblStylePr>
    <w:tblStylePr w:type="band1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insideV w:val="single" w:sz="8" w:space="0" w:color="FDCF85" w:themeColor="accent1"/>
        </w:tcBorders>
        <w:shd w:val="clear" w:color="auto" w:fill="FEF3E0" w:themeFill="accent1" w:themeFillTint="3F"/>
      </w:tcPr>
    </w:tblStylePr>
    <w:tblStylePr w:type="band2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insideV w:val="single" w:sz="8" w:space="0" w:color="FDCF85" w:themeColor="accent1"/>
        </w:tcBorders>
      </w:tcPr>
    </w:tblStylePr>
  </w:style>
  <w:style w:type="table" w:customStyle="1" w:styleId="LightGrid1">
    <w:name w:val="Light Grid1"/>
    <w:basedOn w:val="TableNormal"/>
    <w:uiPriority w:val="62"/>
    <w:rsid w:val="00FE75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FE755D"/>
    <w:pPr>
      <w:spacing w:after="0" w:line="240" w:lineRule="auto"/>
    </w:pPr>
    <w:tblPr>
      <w:tblStyleRowBandSize w:val="1"/>
      <w:tblStyleColBandSize w:val="1"/>
      <w:tblBorders>
        <w:top w:val="single" w:sz="8" w:space="0" w:color="FEE3BB" w:themeColor="accent6"/>
        <w:left w:val="single" w:sz="8" w:space="0" w:color="FEE3BB" w:themeColor="accent6"/>
        <w:bottom w:val="single" w:sz="8" w:space="0" w:color="FEE3BB" w:themeColor="accent6"/>
        <w:right w:val="single" w:sz="8" w:space="0" w:color="FEE3BB" w:themeColor="accent6"/>
      </w:tblBorders>
    </w:tblPr>
    <w:tblStylePr w:type="firstRow">
      <w:pPr>
        <w:spacing w:before="0" w:after="0" w:line="240" w:lineRule="auto"/>
      </w:pPr>
      <w:rPr>
        <w:b/>
        <w:bCs/>
        <w:color w:val="FFFFFF" w:themeColor="background1"/>
      </w:rPr>
      <w:tblPr/>
      <w:tcPr>
        <w:shd w:val="clear" w:color="auto" w:fill="FEE3BB" w:themeFill="accent6"/>
      </w:tcPr>
    </w:tblStylePr>
    <w:tblStylePr w:type="lastRow">
      <w:pPr>
        <w:spacing w:before="0" w:after="0" w:line="240" w:lineRule="auto"/>
      </w:pPr>
      <w:rPr>
        <w:b/>
        <w:bCs/>
      </w:rPr>
      <w:tblPr/>
      <w:tcPr>
        <w:tcBorders>
          <w:top w:val="double" w:sz="6" w:space="0" w:color="FEE3BB" w:themeColor="accent6"/>
          <w:left w:val="single" w:sz="8" w:space="0" w:color="FEE3BB" w:themeColor="accent6"/>
          <w:bottom w:val="single" w:sz="8" w:space="0" w:color="FEE3BB" w:themeColor="accent6"/>
          <w:right w:val="single" w:sz="8" w:space="0" w:color="FEE3BB" w:themeColor="accent6"/>
        </w:tcBorders>
      </w:tcPr>
    </w:tblStylePr>
    <w:tblStylePr w:type="firstCol">
      <w:rPr>
        <w:b/>
        <w:bCs/>
      </w:rPr>
    </w:tblStylePr>
    <w:tblStylePr w:type="lastCol">
      <w:rPr>
        <w:b/>
        <w:bCs/>
      </w:rPr>
    </w:tblStylePr>
    <w:tblStylePr w:type="band1Vert">
      <w:tblPr/>
      <w:tcPr>
        <w:tcBorders>
          <w:top w:val="single" w:sz="8" w:space="0" w:color="FEE3BB" w:themeColor="accent6"/>
          <w:left w:val="single" w:sz="8" w:space="0" w:color="FEE3BB" w:themeColor="accent6"/>
          <w:bottom w:val="single" w:sz="8" w:space="0" w:color="FEE3BB" w:themeColor="accent6"/>
          <w:right w:val="single" w:sz="8" w:space="0" w:color="FEE3BB" w:themeColor="accent6"/>
        </w:tcBorders>
      </w:tcPr>
    </w:tblStylePr>
    <w:tblStylePr w:type="band1Horz">
      <w:tblPr/>
      <w:tcPr>
        <w:tcBorders>
          <w:top w:val="single" w:sz="8" w:space="0" w:color="FEE3BB" w:themeColor="accent6"/>
          <w:left w:val="single" w:sz="8" w:space="0" w:color="FEE3BB" w:themeColor="accent6"/>
          <w:bottom w:val="single" w:sz="8" w:space="0" w:color="FEE3BB" w:themeColor="accent6"/>
          <w:right w:val="single" w:sz="8" w:space="0" w:color="FEE3BB" w:themeColor="accent6"/>
        </w:tcBorders>
      </w:tcPr>
    </w:tblStylePr>
  </w:style>
  <w:style w:type="table" w:styleId="LightList-Accent5">
    <w:name w:val="Light List Accent 5"/>
    <w:basedOn w:val="TableNormal"/>
    <w:uiPriority w:val="61"/>
    <w:rsid w:val="00FE755D"/>
    <w:pPr>
      <w:spacing w:after="0" w:line="240" w:lineRule="auto"/>
    </w:pPr>
    <w:tblPr>
      <w:tblStyleRowBandSize w:val="1"/>
      <w:tblStyleColBandSize w:val="1"/>
      <w:tblBorders>
        <w:top w:val="single" w:sz="8" w:space="0" w:color="02424C" w:themeColor="accent5"/>
        <w:left w:val="single" w:sz="8" w:space="0" w:color="02424C" w:themeColor="accent5"/>
        <w:bottom w:val="single" w:sz="8" w:space="0" w:color="02424C" w:themeColor="accent5"/>
        <w:right w:val="single" w:sz="8" w:space="0" w:color="02424C" w:themeColor="accent5"/>
      </w:tblBorders>
    </w:tblPr>
    <w:tblStylePr w:type="firstRow">
      <w:pPr>
        <w:spacing w:before="0" w:after="0" w:line="240" w:lineRule="auto"/>
      </w:pPr>
      <w:rPr>
        <w:b/>
        <w:bCs/>
        <w:color w:val="FFFFFF" w:themeColor="background1"/>
      </w:rPr>
      <w:tblPr/>
      <w:tcPr>
        <w:shd w:val="clear" w:color="auto" w:fill="02424C" w:themeFill="accent5"/>
      </w:tcPr>
    </w:tblStylePr>
    <w:tblStylePr w:type="lastRow">
      <w:pPr>
        <w:spacing w:before="0" w:after="0" w:line="240" w:lineRule="auto"/>
      </w:pPr>
      <w:rPr>
        <w:b/>
        <w:bCs/>
      </w:rPr>
      <w:tblPr/>
      <w:tcPr>
        <w:tcBorders>
          <w:top w:val="double" w:sz="6" w:space="0" w:color="02424C" w:themeColor="accent5"/>
          <w:left w:val="single" w:sz="8" w:space="0" w:color="02424C" w:themeColor="accent5"/>
          <w:bottom w:val="single" w:sz="8" w:space="0" w:color="02424C" w:themeColor="accent5"/>
          <w:right w:val="single" w:sz="8" w:space="0" w:color="02424C" w:themeColor="accent5"/>
        </w:tcBorders>
      </w:tcPr>
    </w:tblStylePr>
    <w:tblStylePr w:type="firstCol">
      <w:rPr>
        <w:b/>
        <w:bCs/>
      </w:rPr>
    </w:tblStylePr>
    <w:tblStylePr w:type="lastCol">
      <w:rPr>
        <w:b/>
        <w:bCs/>
      </w:rPr>
    </w:tblStylePr>
    <w:tblStylePr w:type="band1Vert">
      <w:tblPr/>
      <w:tcPr>
        <w:tcBorders>
          <w:top w:val="single" w:sz="8" w:space="0" w:color="02424C" w:themeColor="accent5"/>
          <w:left w:val="single" w:sz="8" w:space="0" w:color="02424C" w:themeColor="accent5"/>
          <w:bottom w:val="single" w:sz="8" w:space="0" w:color="02424C" w:themeColor="accent5"/>
          <w:right w:val="single" w:sz="8" w:space="0" w:color="02424C" w:themeColor="accent5"/>
        </w:tcBorders>
      </w:tcPr>
    </w:tblStylePr>
    <w:tblStylePr w:type="band1Horz">
      <w:tblPr/>
      <w:tcPr>
        <w:tcBorders>
          <w:top w:val="single" w:sz="8" w:space="0" w:color="02424C" w:themeColor="accent5"/>
          <w:left w:val="single" w:sz="8" w:space="0" w:color="02424C" w:themeColor="accent5"/>
          <w:bottom w:val="single" w:sz="8" w:space="0" w:color="02424C" w:themeColor="accent5"/>
          <w:right w:val="single" w:sz="8" w:space="0" w:color="02424C" w:themeColor="accent5"/>
        </w:tcBorders>
      </w:tcPr>
    </w:tblStylePr>
  </w:style>
  <w:style w:type="table" w:styleId="LightList-Accent4">
    <w:name w:val="Light List Accent 4"/>
    <w:basedOn w:val="TableNormal"/>
    <w:uiPriority w:val="61"/>
    <w:rsid w:val="00FE755D"/>
    <w:pPr>
      <w:spacing w:after="0" w:line="240" w:lineRule="auto"/>
    </w:pPr>
    <w:tblPr>
      <w:tblStyleRowBandSize w:val="1"/>
      <w:tblStyleColBandSize w:val="1"/>
      <w:tblBorders>
        <w:top w:val="single" w:sz="8" w:space="0" w:color="306673" w:themeColor="accent4"/>
        <w:left w:val="single" w:sz="8" w:space="0" w:color="306673" w:themeColor="accent4"/>
        <w:bottom w:val="single" w:sz="8" w:space="0" w:color="306673" w:themeColor="accent4"/>
        <w:right w:val="single" w:sz="8" w:space="0" w:color="306673" w:themeColor="accent4"/>
      </w:tblBorders>
    </w:tblPr>
    <w:tblStylePr w:type="firstRow">
      <w:pPr>
        <w:spacing w:before="0" w:after="0" w:line="240" w:lineRule="auto"/>
      </w:pPr>
      <w:rPr>
        <w:b/>
        <w:bCs/>
        <w:color w:val="FFFFFF" w:themeColor="background1"/>
      </w:rPr>
      <w:tblPr/>
      <w:tcPr>
        <w:shd w:val="clear" w:color="auto" w:fill="306673" w:themeFill="accent4"/>
      </w:tcPr>
    </w:tblStylePr>
    <w:tblStylePr w:type="lastRow">
      <w:pPr>
        <w:spacing w:before="0" w:after="0" w:line="240" w:lineRule="auto"/>
      </w:pPr>
      <w:rPr>
        <w:b/>
        <w:bCs/>
      </w:rPr>
      <w:tblPr/>
      <w:tcPr>
        <w:tcBorders>
          <w:top w:val="double" w:sz="6" w:space="0" w:color="306673" w:themeColor="accent4"/>
          <w:left w:val="single" w:sz="8" w:space="0" w:color="306673" w:themeColor="accent4"/>
          <w:bottom w:val="single" w:sz="8" w:space="0" w:color="306673" w:themeColor="accent4"/>
          <w:right w:val="single" w:sz="8" w:space="0" w:color="306673" w:themeColor="accent4"/>
        </w:tcBorders>
      </w:tcPr>
    </w:tblStylePr>
    <w:tblStylePr w:type="firstCol">
      <w:rPr>
        <w:b/>
        <w:bCs/>
      </w:rPr>
    </w:tblStylePr>
    <w:tblStylePr w:type="lastCol">
      <w:rPr>
        <w:b/>
        <w:bCs/>
      </w:rPr>
    </w:tblStylePr>
    <w:tblStylePr w:type="band1Vert">
      <w:tblPr/>
      <w:tcPr>
        <w:tcBorders>
          <w:top w:val="single" w:sz="8" w:space="0" w:color="306673" w:themeColor="accent4"/>
          <w:left w:val="single" w:sz="8" w:space="0" w:color="306673" w:themeColor="accent4"/>
          <w:bottom w:val="single" w:sz="8" w:space="0" w:color="306673" w:themeColor="accent4"/>
          <w:right w:val="single" w:sz="8" w:space="0" w:color="306673" w:themeColor="accent4"/>
        </w:tcBorders>
      </w:tcPr>
    </w:tblStylePr>
    <w:tblStylePr w:type="band1Horz">
      <w:tblPr/>
      <w:tcPr>
        <w:tcBorders>
          <w:top w:val="single" w:sz="8" w:space="0" w:color="306673" w:themeColor="accent4"/>
          <w:left w:val="single" w:sz="8" w:space="0" w:color="306673" w:themeColor="accent4"/>
          <w:bottom w:val="single" w:sz="8" w:space="0" w:color="306673" w:themeColor="accent4"/>
          <w:right w:val="single" w:sz="8" w:space="0" w:color="306673" w:themeColor="accent4"/>
        </w:tcBorders>
      </w:tcPr>
    </w:tblStylePr>
  </w:style>
  <w:style w:type="paragraph" w:customStyle="1" w:styleId="Default">
    <w:name w:val="Default"/>
    <w:basedOn w:val="Normal"/>
    <w:link w:val="DefaultChar"/>
    <w:rsid w:val="006B6036"/>
    <w:pPr>
      <w:autoSpaceDE w:val="0"/>
      <w:autoSpaceDN w:val="0"/>
      <w:spacing w:line="240" w:lineRule="auto"/>
    </w:pPr>
    <w:rPr>
      <w:rFonts w:ascii="Times New Roman" w:eastAsiaTheme="minorHAnsi" w:hAnsi="Times New Roman" w:cs="Times New Roman"/>
      <w:color w:val="000000"/>
      <w:szCs w:val="24"/>
      <w:lang w:eastAsia="en-US"/>
    </w:rPr>
  </w:style>
  <w:style w:type="character" w:customStyle="1" w:styleId="CaptionChar">
    <w:name w:val="Caption Char"/>
    <w:aliases w:val="Table caption Char,paveikslas Char,Paveikslo pavadinimas Char,TabelOverskrift Char,Char Char Char Char,Caption1 Char Char Char Char Char Char Char Char Char,Caption1 Char Char Char Char Char Char Char Char Tegn Tegn Tegn Tegn Tegn Char"/>
    <w:link w:val="Caption"/>
    <w:rsid w:val="006B6036"/>
    <w:rPr>
      <w:rFonts w:ascii="Cambria" w:hAnsi="Cambria"/>
      <w:b/>
      <w:bCs/>
      <w:szCs w:val="18"/>
    </w:rPr>
  </w:style>
  <w:style w:type="paragraph" w:styleId="NormalWeb">
    <w:name w:val="Normal (Web)"/>
    <w:basedOn w:val="Normal"/>
    <w:uiPriority w:val="99"/>
    <w:semiHidden/>
    <w:unhideWhenUsed/>
    <w:rsid w:val="006B6036"/>
    <w:pPr>
      <w:spacing w:before="100" w:beforeAutospacing="1" w:after="100" w:afterAutospacing="1" w:line="240" w:lineRule="auto"/>
    </w:pPr>
    <w:rPr>
      <w:rFonts w:ascii="Times New Roman" w:hAnsi="Times New Roman" w:cs="Times New Roman"/>
      <w:szCs w:val="24"/>
      <w:lang w:val="en-US" w:eastAsia="en-US"/>
    </w:rPr>
  </w:style>
  <w:style w:type="character" w:customStyle="1" w:styleId="hps">
    <w:name w:val="hps"/>
    <w:rsid w:val="002B0DC2"/>
  </w:style>
  <w:style w:type="character" w:customStyle="1" w:styleId="DefaultChar">
    <w:name w:val="Default Char"/>
    <w:link w:val="Default"/>
    <w:rsid w:val="00DF5A9C"/>
    <w:rPr>
      <w:rFonts w:ascii="Times New Roman" w:eastAsiaTheme="minorHAnsi" w:hAnsi="Times New Roman" w:cs="Times New Roman"/>
      <w:color w:val="000000"/>
      <w:sz w:val="24"/>
      <w:szCs w:val="24"/>
      <w:lang w:eastAsia="en-US"/>
    </w:rPr>
  </w:style>
  <w:style w:type="character" w:customStyle="1" w:styleId="apple-converted-space">
    <w:name w:val="apple-converted-space"/>
    <w:basedOn w:val="DefaultParagraphFont"/>
    <w:rsid w:val="00DF5A9C"/>
  </w:style>
  <w:style w:type="paragraph" w:customStyle="1" w:styleId="Text1">
    <w:name w:val="Text 1"/>
    <w:basedOn w:val="Normal"/>
    <w:link w:val="Text1Char"/>
    <w:rsid w:val="00F130B7"/>
    <w:pPr>
      <w:spacing w:after="240" w:line="240" w:lineRule="auto"/>
      <w:ind w:left="482"/>
      <w:jc w:val="both"/>
    </w:pPr>
    <w:rPr>
      <w:rFonts w:ascii="Times New Roman" w:eastAsia="Times New Roman" w:hAnsi="Times New Roman" w:cs="Times New Roman"/>
      <w:szCs w:val="20"/>
      <w:lang w:val="en-GB" w:eastAsia="en-US"/>
    </w:rPr>
  </w:style>
  <w:style w:type="character" w:customStyle="1" w:styleId="Text1Char">
    <w:name w:val="Text 1 Char"/>
    <w:link w:val="Text1"/>
    <w:locked/>
    <w:rsid w:val="00F130B7"/>
    <w:rPr>
      <w:rFonts w:ascii="Times New Roman" w:eastAsia="Times New Roman" w:hAnsi="Times New Roman" w:cs="Times New Roman"/>
      <w:sz w:val="24"/>
      <w:szCs w:val="20"/>
      <w:lang w:val="en-GB" w:eastAsia="en-US"/>
    </w:rPr>
  </w:style>
  <w:style w:type="character" w:styleId="CommentReference">
    <w:name w:val="annotation reference"/>
    <w:basedOn w:val="DefaultParagraphFont"/>
    <w:uiPriority w:val="99"/>
    <w:semiHidden/>
    <w:unhideWhenUsed/>
    <w:rsid w:val="00495065"/>
    <w:rPr>
      <w:sz w:val="16"/>
      <w:szCs w:val="16"/>
    </w:rPr>
  </w:style>
  <w:style w:type="paragraph" w:styleId="CommentText">
    <w:name w:val="annotation text"/>
    <w:basedOn w:val="Normal"/>
    <w:link w:val="CommentTextChar"/>
    <w:uiPriority w:val="99"/>
    <w:unhideWhenUsed/>
    <w:rsid w:val="00495065"/>
    <w:pPr>
      <w:spacing w:line="240" w:lineRule="auto"/>
    </w:pPr>
    <w:rPr>
      <w:sz w:val="20"/>
      <w:szCs w:val="20"/>
    </w:rPr>
  </w:style>
  <w:style w:type="character" w:customStyle="1" w:styleId="CommentTextChar">
    <w:name w:val="Comment Text Char"/>
    <w:basedOn w:val="DefaultParagraphFont"/>
    <w:link w:val="CommentText"/>
    <w:uiPriority w:val="99"/>
    <w:rsid w:val="004950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495065"/>
    <w:rPr>
      <w:b/>
      <w:bCs/>
    </w:rPr>
  </w:style>
  <w:style w:type="character" w:customStyle="1" w:styleId="CommentSubjectChar">
    <w:name w:val="Comment Subject Char"/>
    <w:basedOn w:val="CommentTextChar"/>
    <w:link w:val="CommentSubject"/>
    <w:uiPriority w:val="99"/>
    <w:semiHidden/>
    <w:rsid w:val="00495065"/>
    <w:rPr>
      <w:rFonts w:ascii="Cambria" w:hAnsi="Cambria"/>
      <w:b/>
      <w:bCs/>
      <w:sz w:val="20"/>
      <w:szCs w:val="20"/>
    </w:rPr>
  </w:style>
  <w:style w:type="table" w:styleId="ColorfulList-Accent2">
    <w:name w:val="Colorful List Accent 2"/>
    <w:basedOn w:val="TableNormal"/>
    <w:uiPriority w:val="72"/>
    <w:rsid w:val="0059500B"/>
    <w:pPr>
      <w:spacing w:after="0" w:line="240" w:lineRule="auto"/>
    </w:pPr>
    <w:rPr>
      <w:color w:val="000000" w:themeColor="text1"/>
    </w:rPr>
    <w:tblPr>
      <w:tblStyleRowBandSize w:val="1"/>
      <w:tblStyleColBandSize w:val="1"/>
    </w:tblPr>
    <w:tcPr>
      <w:shd w:val="clear" w:color="auto" w:fill="FEF7EA" w:themeFill="accent2" w:themeFillTint="19"/>
    </w:tcPr>
    <w:tblStylePr w:type="firstRow">
      <w:rPr>
        <w:b/>
        <w:bCs/>
        <w:color w:val="FFFFFF" w:themeColor="background1"/>
      </w:rPr>
      <w:tblPr/>
      <w:tcPr>
        <w:tcBorders>
          <w:bottom w:val="single" w:sz="12" w:space="0" w:color="FFFFFF" w:themeColor="background1"/>
        </w:tcBorders>
        <w:shd w:val="clear" w:color="auto" w:fill="E79505" w:themeFill="accent2" w:themeFillShade="CC"/>
      </w:tcPr>
    </w:tblStylePr>
    <w:tblStylePr w:type="lastRow">
      <w:rPr>
        <w:b/>
        <w:bCs/>
        <w:color w:val="E79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B" w:themeFill="accent2" w:themeFillTint="3F"/>
      </w:tcPr>
    </w:tblStylePr>
    <w:tblStylePr w:type="band1Horz">
      <w:tblPr/>
      <w:tcPr>
        <w:shd w:val="clear" w:color="auto" w:fill="FEEFD5" w:themeFill="accent2" w:themeFillTint="33"/>
      </w:tcPr>
    </w:tblStylePr>
  </w:style>
  <w:style w:type="paragraph" w:customStyle="1" w:styleId="Sraopastraipa2">
    <w:name w:val="Sąrašo pastraipa2"/>
    <w:basedOn w:val="Normal"/>
    <w:qFormat/>
    <w:rsid w:val="008B5394"/>
    <w:pPr>
      <w:ind w:left="720"/>
      <w:contextualSpacing/>
      <w:jc w:val="both"/>
    </w:pPr>
    <w:rPr>
      <w:rFonts w:ascii="Calibri" w:eastAsia="Calibri" w:hAnsi="Calibri" w:cs="Times New Roman"/>
      <w:sz w:val="22"/>
      <w:lang w:eastAsia="en-US"/>
    </w:rPr>
  </w:style>
  <w:style w:type="table" w:customStyle="1" w:styleId="TableGrid1">
    <w:name w:val="Table Grid1"/>
    <w:basedOn w:val="TableNormal"/>
    <w:next w:val="TableGrid"/>
    <w:uiPriority w:val="59"/>
    <w:rsid w:val="0005317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PVILentele11">
    <w:name w:val="VPVI Lentele 11"/>
    <w:basedOn w:val="TableGrid"/>
    <w:uiPriority w:val="99"/>
    <w:rsid w:val="00053174"/>
    <w:pPr>
      <w:spacing w:line="276" w:lineRule="auto"/>
      <w:contextualSpacing/>
    </w:pPr>
    <w:rPr>
      <w:rFonts w:ascii="Calibri" w:eastAsia="Times New Roman" w:hAnsi="Calibri" w:cs="Times New Roman"/>
      <w:sz w:val="20"/>
      <w:lang w:eastAsia="en-US"/>
    </w:rPr>
    <w:tblPr/>
    <w:tblStylePr w:type="firstRow">
      <w:pPr>
        <w:wordWrap/>
        <w:spacing w:line="276" w:lineRule="auto"/>
        <w:jc w:val="center"/>
      </w:pPr>
      <w:rPr>
        <w:rFonts w:ascii="Calibri" w:hAnsi="Calibri" w:hint="default"/>
        <w:b/>
        <w:sz w:val="22"/>
        <w:szCs w:val="22"/>
      </w:rPr>
      <w:tblPr/>
      <w:tcPr>
        <w:shd w:val="clear" w:color="auto" w:fill="00505E"/>
      </w:tcPr>
    </w:tblStylePr>
    <w:tblStylePr w:type="lastRow">
      <w:pPr>
        <w:wordWrap/>
        <w:spacing w:beforeLines="0" w:beforeAutospacing="1" w:afterLines="0" w:afterAutospacing="1" w:line="276" w:lineRule="auto"/>
        <w:ind w:leftChars="0" w:left="0" w:rightChars="0" w:right="0"/>
        <w:contextualSpacing/>
        <w:jc w:val="left"/>
      </w:pPr>
      <w:rPr>
        <w:rFonts w:ascii="Calibri" w:hAnsi="Calibri" w:hint="default"/>
        <w:sz w:val="18"/>
        <w:szCs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Calibri" w:hAnsi="Calibri" w:hint="default"/>
      </w:rPr>
    </w:tblStylePr>
    <w:tblStylePr w:type="lastCol">
      <w:pPr>
        <w:wordWrap/>
        <w:spacing w:line="276" w:lineRule="auto"/>
        <w:jc w:val="left"/>
      </w:pPr>
      <w:rPr>
        <w:rFonts w:ascii="Calibri" w:hAnsi="Calibri" w:hint="default"/>
      </w:rPr>
    </w:tblStylePr>
    <w:tblStylePr w:type="band1Vert">
      <w:pPr>
        <w:jc w:val="left"/>
      </w:pPr>
      <w:rPr>
        <w:rFonts w:ascii="Calibri" w:hAnsi="Calibri" w:hint="default"/>
      </w:rPr>
    </w:tblStylePr>
    <w:tblStylePr w:type="band2Vert">
      <w:pPr>
        <w:jc w:val="left"/>
      </w:pPr>
      <w:rPr>
        <w:rFonts w:ascii="Calibri" w:hAnsi="Calibri" w:hint="default"/>
      </w:rPr>
    </w:tblStylePr>
    <w:tblStylePr w:type="band1Horz">
      <w:pPr>
        <w:wordWrap/>
        <w:spacing w:beforeLines="0" w:beforeAutospacing="1" w:afterLines="0" w:afterAutospacing="1" w:line="276" w:lineRule="auto"/>
        <w:contextualSpacing/>
        <w:jc w:val="left"/>
      </w:pPr>
      <w:rPr>
        <w:rFonts w:ascii="Calibri" w:hAnsi="Calibri" w:hint="default"/>
        <w:b w:val="0"/>
        <w:sz w:val="20"/>
        <w:szCs w:val="20"/>
      </w:rPr>
      <w:tblPr/>
      <w:tcPr>
        <w:shd w:val="clear" w:color="auto" w:fill="F6E2A3"/>
      </w:tcPr>
    </w:tblStylePr>
    <w:tblStylePr w:type="band2Horz">
      <w:pPr>
        <w:wordWrap/>
        <w:spacing w:beforeLines="0" w:beforeAutospacing="1" w:afterLines="0" w:afterAutospacing="1" w:line="276" w:lineRule="auto"/>
        <w:ind w:firstLineChars="0" w:firstLine="0"/>
        <w:contextualSpacing/>
        <w:jc w:val="left"/>
      </w:pPr>
      <w:rPr>
        <w:rFonts w:ascii="Calibri" w:hAnsi="Calibri" w:hint="default"/>
        <w:b w:val="0"/>
        <w:sz w:val="20"/>
        <w:szCs w:val="20"/>
      </w:rPr>
    </w:tblStylePr>
    <w:tblStylePr w:type="neCell">
      <w:pPr>
        <w:wordWrap/>
        <w:spacing w:beforeLines="0" w:beforeAutospacing="1" w:afterLines="0" w:afterAutospacing="1" w:line="276" w:lineRule="auto"/>
        <w:contextualSpacing/>
        <w:jc w:val="center"/>
      </w:pPr>
      <w:rPr>
        <w:rFonts w:ascii="Calibri" w:hAnsi="Calibri" w:hint="default"/>
        <w:sz w:val="22"/>
        <w:szCs w:val="22"/>
      </w:rPr>
    </w:tblStylePr>
    <w:tblStylePr w:type="nwCell">
      <w:pPr>
        <w:jc w:val="left"/>
      </w:pPr>
      <w:rPr>
        <w:rFonts w:ascii="Calibri" w:hAnsi="Calibri" w:hint="default"/>
      </w:rPr>
    </w:tblStylePr>
    <w:tblStylePr w:type="seCell">
      <w:pPr>
        <w:jc w:val="left"/>
      </w:pPr>
      <w:rPr>
        <w:rFonts w:ascii="Calibri" w:hAnsi="Calibri" w:hint="default"/>
        <w:sz w:val="18"/>
        <w:szCs w:val="18"/>
      </w:rPr>
    </w:tblStylePr>
    <w:tblStylePr w:type="swCell">
      <w:pPr>
        <w:jc w:val="left"/>
      </w:pPr>
      <w:rPr>
        <w:rFonts w:ascii="Calibri" w:hAnsi="Calibri" w:hint="default"/>
        <w:sz w:val="18"/>
        <w:szCs w:val="18"/>
      </w:rPr>
    </w:tblStylePr>
  </w:style>
  <w:style w:type="table" w:customStyle="1" w:styleId="TableGrid2">
    <w:name w:val="Table Grid2"/>
    <w:basedOn w:val="TableNormal"/>
    <w:next w:val="TableGrid"/>
    <w:uiPriority w:val="59"/>
    <w:rsid w:val="0005317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D813C8"/>
    <w:pPr>
      <w:spacing w:before="100" w:beforeAutospacing="1" w:after="100" w:afterAutospacing="1" w:line="240" w:lineRule="auto"/>
    </w:pPr>
    <w:rPr>
      <w:rFonts w:ascii="Times New Roman" w:eastAsia="Times New Roman" w:hAnsi="Times New Roman" w:cs="Times New Roman"/>
      <w:szCs w:val="24"/>
    </w:rPr>
  </w:style>
  <w:style w:type="character" w:styleId="PageNumber">
    <w:name w:val="page number"/>
    <w:basedOn w:val="DefaultParagraphFont"/>
    <w:uiPriority w:val="99"/>
    <w:semiHidden/>
    <w:unhideWhenUsed/>
    <w:rsid w:val="00B6422A"/>
  </w:style>
  <w:style w:type="character" w:styleId="FollowedHyperlink">
    <w:name w:val="FollowedHyperlink"/>
    <w:basedOn w:val="DefaultParagraphFont"/>
    <w:uiPriority w:val="99"/>
    <w:semiHidden/>
    <w:unhideWhenUsed/>
    <w:rsid w:val="00406D19"/>
    <w:rPr>
      <w:color w:val="800080" w:themeColor="followedHyperlink"/>
      <w:u w:val="single"/>
    </w:rPr>
  </w:style>
  <w:style w:type="paragraph" w:customStyle="1" w:styleId="Point0number">
    <w:name w:val="Point 0 (number)"/>
    <w:basedOn w:val="Normal"/>
    <w:rsid w:val="007702D5"/>
    <w:pPr>
      <w:numPr>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1number">
    <w:name w:val="Point 1 (number)"/>
    <w:basedOn w:val="Normal"/>
    <w:rsid w:val="007702D5"/>
    <w:pPr>
      <w:numPr>
        <w:ilvl w:val="2"/>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2number">
    <w:name w:val="Point 2 (number)"/>
    <w:basedOn w:val="Normal"/>
    <w:rsid w:val="007702D5"/>
    <w:pPr>
      <w:numPr>
        <w:ilvl w:val="4"/>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3number">
    <w:name w:val="Point 3 (number)"/>
    <w:basedOn w:val="Normal"/>
    <w:rsid w:val="007702D5"/>
    <w:pPr>
      <w:numPr>
        <w:ilvl w:val="6"/>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0letter">
    <w:name w:val="Point 0 (letter)"/>
    <w:basedOn w:val="Normal"/>
    <w:rsid w:val="007702D5"/>
    <w:pPr>
      <w:numPr>
        <w:ilvl w:val="1"/>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1letter">
    <w:name w:val="Point 1 (letter)"/>
    <w:basedOn w:val="Normal"/>
    <w:rsid w:val="007702D5"/>
    <w:pPr>
      <w:numPr>
        <w:ilvl w:val="3"/>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2letter">
    <w:name w:val="Point 2 (letter)"/>
    <w:basedOn w:val="Normal"/>
    <w:rsid w:val="007702D5"/>
    <w:pPr>
      <w:numPr>
        <w:ilvl w:val="5"/>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3letter">
    <w:name w:val="Point 3 (letter)"/>
    <w:basedOn w:val="Normal"/>
    <w:rsid w:val="007702D5"/>
    <w:pPr>
      <w:numPr>
        <w:ilvl w:val="7"/>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4letter">
    <w:name w:val="Point 4 (letter)"/>
    <w:basedOn w:val="Normal"/>
    <w:rsid w:val="007702D5"/>
    <w:pPr>
      <w:numPr>
        <w:ilvl w:val="8"/>
        <w:numId w:val="2"/>
      </w:numPr>
      <w:spacing w:before="120" w:after="120" w:line="240" w:lineRule="auto"/>
      <w:jc w:val="both"/>
    </w:pPr>
    <w:rPr>
      <w:rFonts w:ascii="Times New Roman" w:eastAsia="Times New Roman" w:hAnsi="Times New Roman" w:cs="Times New Roman"/>
      <w:szCs w:val="24"/>
      <w:lang w:val="en-GB" w:eastAsia="en-US"/>
    </w:rPr>
  </w:style>
  <w:style w:type="paragraph" w:customStyle="1" w:styleId="Point2">
    <w:name w:val="Point 2"/>
    <w:basedOn w:val="Normal"/>
    <w:rsid w:val="007702D5"/>
    <w:pPr>
      <w:spacing w:before="120" w:after="120" w:line="240" w:lineRule="auto"/>
      <w:ind w:left="1984" w:hanging="567"/>
      <w:jc w:val="both"/>
    </w:pPr>
    <w:rPr>
      <w:rFonts w:ascii="Times New Roman" w:eastAsia="Times New Roman" w:hAnsi="Times New Roman" w:cs="Times New Roman"/>
      <w:szCs w:val="24"/>
      <w:lang w:val="en-GB" w:eastAsia="en-US"/>
    </w:rPr>
  </w:style>
  <w:style w:type="paragraph" w:customStyle="1" w:styleId="CM1">
    <w:name w:val="CM1"/>
    <w:basedOn w:val="Default"/>
    <w:next w:val="Default"/>
    <w:uiPriority w:val="99"/>
    <w:rsid w:val="0046624C"/>
    <w:pPr>
      <w:adjustRightInd w:val="0"/>
    </w:pPr>
    <w:rPr>
      <w:rFonts w:ascii="EUAlbertina" w:eastAsiaTheme="minorEastAsia" w:hAnsi="EUAlbertina" w:cstheme="minorBidi"/>
      <w:color w:val="auto"/>
      <w:lang w:eastAsia="lt-LT"/>
    </w:rPr>
  </w:style>
  <w:style w:type="paragraph" w:customStyle="1" w:styleId="CM3">
    <w:name w:val="CM3"/>
    <w:basedOn w:val="Default"/>
    <w:next w:val="Default"/>
    <w:uiPriority w:val="99"/>
    <w:rsid w:val="0046624C"/>
    <w:pPr>
      <w:adjustRightInd w:val="0"/>
    </w:pPr>
    <w:rPr>
      <w:rFonts w:ascii="EUAlbertina" w:eastAsiaTheme="minorEastAsia" w:hAnsi="EUAlbertina" w:cstheme="minorBidi"/>
      <w:color w:val="auto"/>
      <w:lang w:eastAsia="lt-LT"/>
    </w:rPr>
  </w:style>
  <w:style w:type="character" w:customStyle="1" w:styleId="st">
    <w:name w:val="st"/>
    <w:basedOn w:val="DefaultParagraphFont"/>
    <w:rsid w:val="0074365F"/>
  </w:style>
  <w:style w:type="table" w:customStyle="1" w:styleId="LightShading-Accent12">
    <w:name w:val="Light Shading - Accent 12"/>
    <w:basedOn w:val="TableNormal"/>
    <w:uiPriority w:val="60"/>
    <w:rsid w:val="0070609E"/>
    <w:pPr>
      <w:spacing w:after="0" w:line="240" w:lineRule="auto"/>
    </w:pPr>
    <w:rPr>
      <w:color w:val="FBA925" w:themeColor="accent1" w:themeShade="BF"/>
    </w:rPr>
    <w:tblPr>
      <w:tblStyleRowBandSize w:val="1"/>
      <w:tblStyleColBandSize w:val="1"/>
      <w:tblBorders>
        <w:top w:val="single" w:sz="8" w:space="0" w:color="FDCF85" w:themeColor="accent1"/>
        <w:bottom w:val="single" w:sz="8" w:space="0" w:color="FDCF85" w:themeColor="accent1"/>
      </w:tblBorders>
    </w:tblPr>
    <w:tblStylePr w:type="fir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la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E0" w:themeFill="accent1" w:themeFillTint="3F"/>
      </w:tcPr>
    </w:tblStylePr>
    <w:tblStylePr w:type="band1Horz">
      <w:tblPr/>
      <w:tcPr>
        <w:tcBorders>
          <w:left w:val="nil"/>
          <w:right w:val="nil"/>
          <w:insideH w:val="nil"/>
          <w:insideV w:val="nil"/>
        </w:tcBorders>
        <w:shd w:val="clear" w:color="auto" w:fill="FEF3E0" w:themeFill="accent1" w:themeFillTint="3F"/>
      </w:tcPr>
    </w:tblStylePr>
  </w:style>
  <w:style w:type="table" w:styleId="MediumGrid1-Accent6">
    <w:name w:val="Medium Grid 1 Accent 6"/>
    <w:basedOn w:val="TableNormal"/>
    <w:uiPriority w:val="67"/>
    <w:rsid w:val="0070609E"/>
    <w:pPr>
      <w:spacing w:after="0" w:line="240" w:lineRule="auto"/>
    </w:pPr>
    <w:tblPr>
      <w:tblStyleRowBandSize w:val="1"/>
      <w:tblStyleColBandSize w:val="1"/>
      <w:tblBorders>
        <w:top w:val="single" w:sz="8" w:space="0" w:color="FEE9CB" w:themeColor="accent6" w:themeTint="BF"/>
        <w:left w:val="single" w:sz="8" w:space="0" w:color="FEE9CB" w:themeColor="accent6" w:themeTint="BF"/>
        <w:bottom w:val="single" w:sz="8" w:space="0" w:color="FEE9CB" w:themeColor="accent6" w:themeTint="BF"/>
        <w:right w:val="single" w:sz="8" w:space="0" w:color="FEE9CB" w:themeColor="accent6" w:themeTint="BF"/>
        <w:insideH w:val="single" w:sz="8" w:space="0" w:color="FEE9CB" w:themeColor="accent6" w:themeTint="BF"/>
        <w:insideV w:val="single" w:sz="8" w:space="0" w:color="FEE9CB" w:themeColor="accent6" w:themeTint="BF"/>
      </w:tblBorders>
    </w:tblPr>
    <w:tcPr>
      <w:shd w:val="clear" w:color="auto" w:fill="FEF7ED" w:themeFill="accent6" w:themeFillTint="3F"/>
    </w:tcPr>
    <w:tblStylePr w:type="firstRow">
      <w:rPr>
        <w:b/>
        <w:bCs/>
      </w:rPr>
    </w:tblStylePr>
    <w:tblStylePr w:type="lastRow">
      <w:rPr>
        <w:b/>
        <w:bCs/>
      </w:rPr>
      <w:tblPr/>
      <w:tcPr>
        <w:tcBorders>
          <w:top w:val="single" w:sz="18" w:space="0" w:color="FEE9CB" w:themeColor="accent6" w:themeTint="BF"/>
        </w:tcBorders>
      </w:tcPr>
    </w:tblStylePr>
    <w:tblStylePr w:type="firstCol">
      <w:rPr>
        <w:b/>
        <w:bCs/>
      </w:rPr>
    </w:tblStylePr>
    <w:tblStylePr w:type="lastCol">
      <w:rPr>
        <w:b/>
        <w:bCs/>
      </w:rPr>
    </w:tblStylePr>
    <w:tblStylePr w:type="band1Vert">
      <w:tblPr/>
      <w:tcPr>
        <w:shd w:val="clear" w:color="auto" w:fill="FEF0DC" w:themeFill="accent6" w:themeFillTint="7F"/>
      </w:tcPr>
    </w:tblStylePr>
    <w:tblStylePr w:type="band1Horz">
      <w:tblPr/>
      <w:tcPr>
        <w:shd w:val="clear" w:color="auto" w:fill="FEF0DC" w:themeFill="accent6" w:themeFillTint="7F"/>
      </w:tcPr>
    </w:tblStylePr>
  </w:style>
  <w:style w:type="table" w:styleId="MediumGrid3-Accent6">
    <w:name w:val="Medium Grid 3 Accent 6"/>
    <w:basedOn w:val="TableNormal"/>
    <w:uiPriority w:val="69"/>
    <w:rsid w:val="00706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E3B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E3B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E3B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E3B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0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0DC" w:themeFill="accent6" w:themeFillTint="7F"/>
      </w:tcPr>
    </w:tblStylePr>
  </w:style>
  <w:style w:type="character" w:customStyle="1" w:styleId="Hyperlink1">
    <w:name w:val="Hyperlink1"/>
    <w:basedOn w:val="DefaultParagraphFont"/>
    <w:uiPriority w:val="99"/>
    <w:unhideWhenUsed/>
    <w:rsid w:val="00387B11"/>
    <w:rPr>
      <w:color w:val="0000FF"/>
      <w:u w:val="single"/>
    </w:rPr>
  </w:style>
  <w:style w:type="table" w:styleId="ColorfulList-Accent6">
    <w:name w:val="Colorful List Accent 6"/>
    <w:basedOn w:val="TableNormal"/>
    <w:uiPriority w:val="72"/>
    <w:rsid w:val="006C7E10"/>
    <w:pPr>
      <w:spacing w:after="0" w:line="240" w:lineRule="auto"/>
    </w:pPr>
    <w:rPr>
      <w:rFonts w:eastAsiaTheme="minorHAnsi"/>
      <w:color w:val="000000" w:themeColor="text1"/>
      <w:lang w:eastAsia="en-US"/>
    </w:rPr>
    <w:tblPr>
      <w:tblStyleRowBandSize w:val="1"/>
      <w:tblStyleColBandSize w:val="1"/>
    </w:tblPr>
    <w:tcPr>
      <w:shd w:val="clear" w:color="auto" w:fill="FFFCF8" w:themeFill="accent6" w:themeFillTint="19"/>
    </w:tcPr>
    <w:tblStylePr w:type="firstRow">
      <w:rPr>
        <w:b/>
        <w:bCs/>
        <w:color w:val="FFFFFF" w:themeColor="background1"/>
      </w:rPr>
      <w:tblPr/>
      <w:tcPr>
        <w:tcBorders>
          <w:bottom w:val="single" w:sz="12" w:space="0" w:color="FFFFFF" w:themeColor="background1"/>
        </w:tcBorders>
        <w:shd w:val="clear" w:color="auto" w:fill="01343C" w:themeFill="accent5" w:themeFillShade="CC"/>
      </w:tcPr>
    </w:tblStylePr>
    <w:tblStylePr w:type="lastRow">
      <w:rPr>
        <w:b/>
        <w:bCs/>
        <w:color w:val="0134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ED" w:themeFill="accent6" w:themeFillTint="3F"/>
      </w:tcPr>
    </w:tblStylePr>
    <w:tblStylePr w:type="band1Horz">
      <w:tblPr/>
      <w:tcPr>
        <w:shd w:val="clear" w:color="auto" w:fill="FEF9F1" w:themeFill="accent6" w:themeFillTint="33"/>
      </w:tcPr>
    </w:tblStylePr>
  </w:style>
  <w:style w:type="paragraph" w:styleId="PlainText">
    <w:name w:val="Plain Text"/>
    <w:basedOn w:val="Normal"/>
    <w:link w:val="PlainTextChar"/>
    <w:uiPriority w:val="99"/>
    <w:unhideWhenUsed/>
    <w:rsid w:val="00E17C08"/>
    <w:pPr>
      <w:spacing w:line="240" w:lineRule="auto"/>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E17C08"/>
    <w:rPr>
      <w:rFonts w:ascii="Calibri" w:eastAsiaTheme="minorHAnsi" w:hAnsi="Calibri"/>
      <w:szCs w:val="21"/>
      <w:lang w:eastAsia="en-US"/>
    </w:rPr>
  </w:style>
  <w:style w:type="numbering" w:customStyle="1" w:styleId="StyleBulleted2">
    <w:name w:val="Style Bulleted2"/>
    <w:basedOn w:val="NoList"/>
    <w:rsid w:val="003A3F40"/>
    <w:pPr>
      <w:numPr>
        <w:numId w:val="3"/>
      </w:numPr>
    </w:pPr>
  </w:style>
  <w:style w:type="paragraph" w:styleId="Revision">
    <w:name w:val="Revision"/>
    <w:hidden/>
    <w:uiPriority w:val="99"/>
    <w:semiHidden/>
    <w:rsid w:val="004011AF"/>
    <w:pPr>
      <w:spacing w:after="0" w:line="240" w:lineRule="auto"/>
    </w:pPr>
    <w:rPr>
      <w:rFonts w:ascii="Cambria" w:hAnsi="Cambria"/>
      <w:sz w:val="24"/>
    </w:rPr>
  </w:style>
  <w:style w:type="character" w:customStyle="1" w:styleId="st1">
    <w:name w:val="st1"/>
    <w:basedOn w:val="DefaultParagraphFont"/>
    <w:rsid w:val="00036634"/>
  </w:style>
  <w:style w:type="paragraph" w:styleId="TOC6">
    <w:name w:val="toc 6"/>
    <w:basedOn w:val="Normal"/>
    <w:next w:val="Normal"/>
    <w:autoRedefine/>
    <w:uiPriority w:val="39"/>
    <w:unhideWhenUsed/>
    <w:rsid w:val="002205F1"/>
    <w:pPr>
      <w:spacing w:after="100"/>
      <w:ind w:left="1100"/>
    </w:pPr>
    <w:rPr>
      <w:rFonts w:asciiTheme="minorHAnsi" w:hAnsiTheme="minorHAnsi"/>
      <w:sz w:val="22"/>
    </w:rPr>
  </w:style>
  <w:style w:type="paragraph" w:styleId="TOC7">
    <w:name w:val="toc 7"/>
    <w:basedOn w:val="Normal"/>
    <w:next w:val="Normal"/>
    <w:autoRedefine/>
    <w:uiPriority w:val="39"/>
    <w:unhideWhenUsed/>
    <w:rsid w:val="002205F1"/>
    <w:pPr>
      <w:spacing w:after="100"/>
      <w:ind w:left="1320"/>
    </w:pPr>
    <w:rPr>
      <w:rFonts w:asciiTheme="minorHAnsi" w:hAnsiTheme="minorHAnsi"/>
      <w:sz w:val="22"/>
    </w:rPr>
  </w:style>
  <w:style w:type="paragraph" w:styleId="TOC8">
    <w:name w:val="toc 8"/>
    <w:basedOn w:val="Normal"/>
    <w:next w:val="Normal"/>
    <w:autoRedefine/>
    <w:uiPriority w:val="39"/>
    <w:unhideWhenUsed/>
    <w:rsid w:val="002205F1"/>
    <w:pPr>
      <w:spacing w:after="100"/>
      <w:ind w:left="1540"/>
    </w:pPr>
    <w:rPr>
      <w:rFonts w:asciiTheme="minorHAnsi" w:hAnsiTheme="minorHAnsi"/>
      <w:sz w:val="22"/>
    </w:rPr>
  </w:style>
  <w:style w:type="paragraph" w:styleId="TOC9">
    <w:name w:val="toc 9"/>
    <w:basedOn w:val="Normal"/>
    <w:next w:val="Normal"/>
    <w:autoRedefine/>
    <w:uiPriority w:val="39"/>
    <w:unhideWhenUsed/>
    <w:rsid w:val="002205F1"/>
    <w:pPr>
      <w:spacing w:after="100"/>
      <w:ind w:left="1760"/>
    </w:pPr>
    <w:rPr>
      <w:rFonts w:asciiTheme="minorHAnsi" w:hAnsiTheme="minorHAnsi"/>
      <w:sz w:val="22"/>
    </w:rPr>
  </w:style>
  <w:style w:type="paragraph" w:customStyle="1" w:styleId="CM4">
    <w:name w:val="CM4"/>
    <w:basedOn w:val="Default"/>
    <w:next w:val="Default"/>
    <w:uiPriority w:val="99"/>
    <w:rsid w:val="00596FDB"/>
    <w:pPr>
      <w:adjustRightInd w:val="0"/>
    </w:pPr>
    <w:rPr>
      <w:rFonts w:ascii="EUAlbertina" w:eastAsia="Times New Roman" w:hAnsi="EUAlbertina"/>
      <w:color w:val="auto"/>
      <w:lang w:val="en-US" w:eastAsia="lt-LT"/>
    </w:rPr>
  </w:style>
  <w:style w:type="character" w:customStyle="1" w:styleId="ListParagraphChar">
    <w:name w:val="List Paragraph Char"/>
    <w:link w:val="ListParagraph"/>
    <w:uiPriority w:val="34"/>
    <w:locked/>
    <w:rsid w:val="00596FDB"/>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88">
      <w:bodyDiv w:val="1"/>
      <w:marLeft w:val="0"/>
      <w:marRight w:val="0"/>
      <w:marTop w:val="0"/>
      <w:marBottom w:val="0"/>
      <w:divBdr>
        <w:top w:val="none" w:sz="0" w:space="0" w:color="auto"/>
        <w:left w:val="none" w:sz="0" w:space="0" w:color="auto"/>
        <w:bottom w:val="none" w:sz="0" w:space="0" w:color="auto"/>
        <w:right w:val="none" w:sz="0" w:space="0" w:color="auto"/>
      </w:divBdr>
      <w:divsChild>
        <w:div w:id="1749304191">
          <w:marLeft w:val="547"/>
          <w:marRight w:val="0"/>
          <w:marTop w:val="0"/>
          <w:marBottom w:val="0"/>
          <w:divBdr>
            <w:top w:val="none" w:sz="0" w:space="0" w:color="auto"/>
            <w:left w:val="none" w:sz="0" w:space="0" w:color="auto"/>
            <w:bottom w:val="none" w:sz="0" w:space="0" w:color="auto"/>
            <w:right w:val="none" w:sz="0" w:space="0" w:color="auto"/>
          </w:divBdr>
        </w:div>
      </w:divsChild>
    </w:div>
    <w:div w:id="72508334">
      <w:bodyDiv w:val="1"/>
      <w:marLeft w:val="0"/>
      <w:marRight w:val="0"/>
      <w:marTop w:val="0"/>
      <w:marBottom w:val="0"/>
      <w:divBdr>
        <w:top w:val="none" w:sz="0" w:space="0" w:color="auto"/>
        <w:left w:val="none" w:sz="0" w:space="0" w:color="auto"/>
        <w:bottom w:val="none" w:sz="0" w:space="0" w:color="auto"/>
        <w:right w:val="none" w:sz="0" w:space="0" w:color="auto"/>
      </w:divBdr>
      <w:divsChild>
        <w:div w:id="1516769892">
          <w:marLeft w:val="0"/>
          <w:marRight w:val="0"/>
          <w:marTop w:val="0"/>
          <w:marBottom w:val="0"/>
          <w:divBdr>
            <w:top w:val="none" w:sz="0" w:space="0" w:color="auto"/>
            <w:left w:val="none" w:sz="0" w:space="0" w:color="auto"/>
            <w:bottom w:val="none" w:sz="0" w:space="0" w:color="auto"/>
            <w:right w:val="none" w:sz="0" w:space="0" w:color="auto"/>
          </w:divBdr>
        </w:div>
        <w:div w:id="36392036">
          <w:marLeft w:val="0"/>
          <w:marRight w:val="0"/>
          <w:marTop w:val="0"/>
          <w:marBottom w:val="0"/>
          <w:divBdr>
            <w:top w:val="none" w:sz="0" w:space="0" w:color="auto"/>
            <w:left w:val="none" w:sz="0" w:space="0" w:color="auto"/>
            <w:bottom w:val="none" w:sz="0" w:space="0" w:color="auto"/>
            <w:right w:val="none" w:sz="0" w:space="0" w:color="auto"/>
          </w:divBdr>
        </w:div>
        <w:div w:id="1060251232">
          <w:marLeft w:val="0"/>
          <w:marRight w:val="0"/>
          <w:marTop w:val="0"/>
          <w:marBottom w:val="0"/>
          <w:divBdr>
            <w:top w:val="none" w:sz="0" w:space="0" w:color="auto"/>
            <w:left w:val="none" w:sz="0" w:space="0" w:color="auto"/>
            <w:bottom w:val="none" w:sz="0" w:space="0" w:color="auto"/>
            <w:right w:val="none" w:sz="0" w:space="0" w:color="auto"/>
          </w:divBdr>
        </w:div>
        <w:div w:id="1061515892">
          <w:marLeft w:val="0"/>
          <w:marRight w:val="0"/>
          <w:marTop w:val="0"/>
          <w:marBottom w:val="0"/>
          <w:divBdr>
            <w:top w:val="none" w:sz="0" w:space="0" w:color="auto"/>
            <w:left w:val="none" w:sz="0" w:space="0" w:color="auto"/>
            <w:bottom w:val="none" w:sz="0" w:space="0" w:color="auto"/>
            <w:right w:val="none" w:sz="0" w:space="0" w:color="auto"/>
          </w:divBdr>
        </w:div>
        <w:div w:id="1984002116">
          <w:marLeft w:val="0"/>
          <w:marRight w:val="0"/>
          <w:marTop w:val="0"/>
          <w:marBottom w:val="0"/>
          <w:divBdr>
            <w:top w:val="none" w:sz="0" w:space="0" w:color="auto"/>
            <w:left w:val="none" w:sz="0" w:space="0" w:color="auto"/>
            <w:bottom w:val="none" w:sz="0" w:space="0" w:color="auto"/>
            <w:right w:val="none" w:sz="0" w:space="0" w:color="auto"/>
          </w:divBdr>
        </w:div>
      </w:divsChild>
    </w:div>
    <w:div w:id="147553088">
      <w:bodyDiv w:val="1"/>
      <w:marLeft w:val="0"/>
      <w:marRight w:val="0"/>
      <w:marTop w:val="0"/>
      <w:marBottom w:val="0"/>
      <w:divBdr>
        <w:top w:val="none" w:sz="0" w:space="0" w:color="auto"/>
        <w:left w:val="none" w:sz="0" w:space="0" w:color="auto"/>
        <w:bottom w:val="none" w:sz="0" w:space="0" w:color="auto"/>
        <w:right w:val="none" w:sz="0" w:space="0" w:color="auto"/>
      </w:divBdr>
    </w:div>
    <w:div w:id="149951450">
      <w:bodyDiv w:val="1"/>
      <w:marLeft w:val="0"/>
      <w:marRight w:val="0"/>
      <w:marTop w:val="0"/>
      <w:marBottom w:val="0"/>
      <w:divBdr>
        <w:top w:val="none" w:sz="0" w:space="0" w:color="auto"/>
        <w:left w:val="none" w:sz="0" w:space="0" w:color="auto"/>
        <w:bottom w:val="none" w:sz="0" w:space="0" w:color="auto"/>
        <w:right w:val="none" w:sz="0" w:space="0" w:color="auto"/>
      </w:divBdr>
      <w:divsChild>
        <w:div w:id="191187223">
          <w:marLeft w:val="547"/>
          <w:marRight w:val="0"/>
          <w:marTop w:val="0"/>
          <w:marBottom w:val="0"/>
          <w:divBdr>
            <w:top w:val="none" w:sz="0" w:space="0" w:color="auto"/>
            <w:left w:val="none" w:sz="0" w:space="0" w:color="auto"/>
            <w:bottom w:val="none" w:sz="0" w:space="0" w:color="auto"/>
            <w:right w:val="none" w:sz="0" w:space="0" w:color="auto"/>
          </w:divBdr>
        </w:div>
      </w:divsChild>
    </w:div>
    <w:div w:id="152138403">
      <w:bodyDiv w:val="1"/>
      <w:marLeft w:val="0"/>
      <w:marRight w:val="0"/>
      <w:marTop w:val="0"/>
      <w:marBottom w:val="0"/>
      <w:divBdr>
        <w:top w:val="none" w:sz="0" w:space="0" w:color="auto"/>
        <w:left w:val="none" w:sz="0" w:space="0" w:color="auto"/>
        <w:bottom w:val="none" w:sz="0" w:space="0" w:color="auto"/>
        <w:right w:val="none" w:sz="0" w:space="0" w:color="auto"/>
      </w:divBdr>
      <w:divsChild>
        <w:div w:id="668749044">
          <w:marLeft w:val="0"/>
          <w:marRight w:val="0"/>
          <w:marTop w:val="0"/>
          <w:marBottom w:val="0"/>
          <w:divBdr>
            <w:top w:val="none" w:sz="0" w:space="0" w:color="auto"/>
            <w:left w:val="none" w:sz="0" w:space="0" w:color="auto"/>
            <w:bottom w:val="none" w:sz="0" w:space="0" w:color="auto"/>
            <w:right w:val="none" w:sz="0" w:space="0" w:color="auto"/>
          </w:divBdr>
        </w:div>
        <w:div w:id="1397361102">
          <w:marLeft w:val="0"/>
          <w:marRight w:val="0"/>
          <w:marTop w:val="0"/>
          <w:marBottom w:val="0"/>
          <w:divBdr>
            <w:top w:val="none" w:sz="0" w:space="0" w:color="auto"/>
            <w:left w:val="none" w:sz="0" w:space="0" w:color="auto"/>
            <w:bottom w:val="none" w:sz="0" w:space="0" w:color="auto"/>
            <w:right w:val="none" w:sz="0" w:space="0" w:color="auto"/>
          </w:divBdr>
        </w:div>
        <w:div w:id="690838680">
          <w:marLeft w:val="0"/>
          <w:marRight w:val="0"/>
          <w:marTop w:val="0"/>
          <w:marBottom w:val="0"/>
          <w:divBdr>
            <w:top w:val="none" w:sz="0" w:space="0" w:color="auto"/>
            <w:left w:val="none" w:sz="0" w:space="0" w:color="auto"/>
            <w:bottom w:val="none" w:sz="0" w:space="0" w:color="auto"/>
            <w:right w:val="none" w:sz="0" w:space="0" w:color="auto"/>
          </w:divBdr>
        </w:div>
        <w:div w:id="1690375666">
          <w:marLeft w:val="0"/>
          <w:marRight w:val="0"/>
          <w:marTop w:val="0"/>
          <w:marBottom w:val="0"/>
          <w:divBdr>
            <w:top w:val="none" w:sz="0" w:space="0" w:color="auto"/>
            <w:left w:val="none" w:sz="0" w:space="0" w:color="auto"/>
            <w:bottom w:val="none" w:sz="0" w:space="0" w:color="auto"/>
            <w:right w:val="none" w:sz="0" w:space="0" w:color="auto"/>
          </w:divBdr>
        </w:div>
        <w:div w:id="89007317">
          <w:marLeft w:val="0"/>
          <w:marRight w:val="0"/>
          <w:marTop w:val="0"/>
          <w:marBottom w:val="0"/>
          <w:divBdr>
            <w:top w:val="none" w:sz="0" w:space="0" w:color="auto"/>
            <w:left w:val="none" w:sz="0" w:space="0" w:color="auto"/>
            <w:bottom w:val="none" w:sz="0" w:space="0" w:color="auto"/>
            <w:right w:val="none" w:sz="0" w:space="0" w:color="auto"/>
          </w:divBdr>
        </w:div>
      </w:divsChild>
    </w:div>
    <w:div w:id="160506166">
      <w:bodyDiv w:val="1"/>
      <w:marLeft w:val="0"/>
      <w:marRight w:val="0"/>
      <w:marTop w:val="0"/>
      <w:marBottom w:val="0"/>
      <w:divBdr>
        <w:top w:val="none" w:sz="0" w:space="0" w:color="auto"/>
        <w:left w:val="none" w:sz="0" w:space="0" w:color="auto"/>
        <w:bottom w:val="none" w:sz="0" w:space="0" w:color="auto"/>
        <w:right w:val="none" w:sz="0" w:space="0" w:color="auto"/>
      </w:divBdr>
    </w:div>
    <w:div w:id="163513836">
      <w:bodyDiv w:val="1"/>
      <w:marLeft w:val="0"/>
      <w:marRight w:val="0"/>
      <w:marTop w:val="0"/>
      <w:marBottom w:val="0"/>
      <w:divBdr>
        <w:top w:val="none" w:sz="0" w:space="0" w:color="auto"/>
        <w:left w:val="none" w:sz="0" w:space="0" w:color="auto"/>
        <w:bottom w:val="none" w:sz="0" w:space="0" w:color="auto"/>
        <w:right w:val="none" w:sz="0" w:space="0" w:color="auto"/>
      </w:divBdr>
      <w:divsChild>
        <w:div w:id="1700280421">
          <w:marLeft w:val="547"/>
          <w:marRight w:val="0"/>
          <w:marTop w:val="0"/>
          <w:marBottom w:val="0"/>
          <w:divBdr>
            <w:top w:val="none" w:sz="0" w:space="0" w:color="auto"/>
            <w:left w:val="none" w:sz="0" w:space="0" w:color="auto"/>
            <w:bottom w:val="none" w:sz="0" w:space="0" w:color="auto"/>
            <w:right w:val="none" w:sz="0" w:space="0" w:color="auto"/>
          </w:divBdr>
        </w:div>
      </w:divsChild>
    </w:div>
    <w:div w:id="236979381">
      <w:bodyDiv w:val="1"/>
      <w:marLeft w:val="0"/>
      <w:marRight w:val="0"/>
      <w:marTop w:val="0"/>
      <w:marBottom w:val="0"/>
      <w:divBdr>
        <w:top w:val="none" w:sz="0" w:space="0" w:color="auto"/>
        <w:left w:val="none" w:sz="0" w:space="0" w:color="auto"/>
        <w:bottom w:val="none" w:sz="0" w:space="0" w:color="auto"/>
        <w:right w:val="none" w:sz="0" w:space="0" w:color="auto"/>
      </w:divBdr>
    </w:div>
    <w:div w:id="309558092">
      <w:bodyDiv w:val="1"/>
      <w:marLeft w:val="0"/>
      <w:marRight w:val="0"/>
      <w:marTop w:val="0"/>
      <w:marBottom w:val="0"/>
      <w:divBdr>
        <w:top w:val="none" w:sz="0" w:space="0" w:color="auto"/>
        <w:left w:val="none" w:sz="0" w:space="0" w:color="auto"/>
        <w:bottom w:val="none" w:sz="0" w:space="0" w:color="auto"/>
        <w:right w:val="none" w:sz="0" w:space="0" w:color="auto"/>
      </w:divBdr>
    </w:div>
    <w:div w:id="344594104">
      <w:bodyDiv w:val="1"/>
      <w:marLeft w:val="0"/>
      <w:marRight w:val="0"/>
      <w:marTop w:val="0"/>
      <w:marBottom w:val="0"/>
      <w:divBdr>
        <w:top w:val="none" w:sz="0" w:space="0" w:color="auto"/>
        <w:left w:val="none" w:sz="0" w:space="0" w:color="auto"/>
        <w:bottom w:val="none" w:sz="0" w:space="0" w:color="auto"/>
        <w:right w:val="none" w:sz="0" w:space="0" w:color="auto"/>
      </w:divBdr>
    </w:div>
    <w:div w:id="403837223">
      <w:bodyDiv w:val="1"/>
      <w:marLeft w:val="0"/>
      <w:marRight w:val="0"/>
      <w:marTop w:val="0"/>
      <w:marBottom w:val="0"/>
      <w:divBdr>
        <w:top w:val="none" w:sz="0" w:space="0" w:color="auto"/>
        <w:left w:val="none" w:sz="0" w:space="0" w:color="auto"/>
        <w:bottom w:val="none" w:sz="0" w:space="0" w:color="auto"/>
        <w:right w:val="none" w:sz="0" w:space="0" w:color="auto"/>
      </w:divBdr>
    </w:div>
    <w:div w:id="429469547">
      <w:bodyDiv w:val="1"/>
      <w:marLeft w:val="0"/>
      <w:marRight w:val="0"/>
      <w:marTop w:val="0"/>
      <w:marBottom w:val="0"/>
      <w:divBdr>
        <w:top w:val="none" w:sz="0" w:space="0" w:color="auto"/>
        <w:left w:val="none" w:sz="0" w:space="0" w:color="auto"/>
        <w:bottom w:val="none" w:sz="0" w:space="0" w:color="auto"/>
        <w:right w:val="none" w:sz="0" w:space="0" w:color="auto"/>
      </w:divBdr>
    </w:div>
    <w:div w:id="438839136">
      <w:bodyDiv w:val="1"/>
      <w:marLeft w:val="0"/>
      <w:marRight w:val="0"/>
      <w:marTop w:val="0"/>
      <w:marBottom w:val="0"/>
      <w:divBdr>
        <w:top w:val="none" w:sz="0" w:space="0" w:color="auto"/>
        <w:left w:val="none" w:sz="0" w:space="0" w:color="auto"/>
        <w:bottom w:val="none" w:sz="0" w:space="0" w:color="auto"/>
        <w:right w:val="none" w:sz="0" w:space="0" w:color="auto"/>
      </w:divBdr>
      <w:divsChild>
        <w:div w:id="2166303">
          <w:marLeft w:val="0"/>
          <w:marRight w:val="0"/>
          <w:marTop w:val="0"/>
          <w:marBottom w:val="0"/>
          <w:divBdr>
            <w:top w:val="none" w:sz="0" w:space="0" w:color="auto"/>
            <w:left w:val="none" w:sz="0" w:space="0" w:color="auto"/>
            <w:bottom w:val="none" w:sz="0" w:space="0" w:color="auto"/>
            <w:right w:val="none" w:sz="0" w:space="0" w:color="auto"/>
          </w:divBdr>
        </w:div>
        <w:div w:id="1266882646">
          <w:marLeft w:val="0"/>
          <w:marRight w:val="0"/>
          <w:marTop w:val="0"/>
          <w:marBottom w:val="0"/>
          <w:divBdr>
            <w:top w:val="none" w:sz="0" w:space="0" w:color="auto"/>
            <w:left w:val="none" w:sz="0" w:space="0" w:color="auto"/>
            <w:bottom w:val="none" w:sz="0" w:space="0" w:color="auto"/>
            <w:right w:val="none" w:sz="0" w:space="0" w:color="auto"/>
          </w:divBdr>
        </w:div>
        <w:div w:id="994530437">
          <w:marLeft w:val="0"/>
          <w:marRight w:val="0"/>
          <w:marTop w:val="0"/>
          <w:marBottom w:val="0"/>
          <w:divBdr>
            <w:top w:val="none" w:sz="0" w:space="0" w:color="auto"/>
            <w:left w:val="none" w:sz="0" w:space="0" w:color="auto"/>
            <w:bottom w:val="none" w:sz="0" w:space="0" w:color="auto"/>
            <w:right w:val="none" w:sz="0" w:space="0" w:color="auto"/>
          </w:divBdr>
        </w:div>
        <w:div w:id="547835102">
          <w:marLeft w:val="0"/>
          <w:marRight w:val="0"/>
          <w:marTop w:val="0"/>
          <w:marBottom w:val="0"/>
          <w:divBdr>
            <w:top w:val="none" w:sz="0" w:space="0" w:color="auto"/>
            <w:left w:val="none" w:sz="0" w:space="0" w:color="auto"/>
            <w:bottom w:val="none" w:sz="0" w:space="0" w:color="auto"/>
            <w:right w:val="none" w:sz="0" w:space="0" w:color="auto"/>
          </w:divBdr>
        </w:div>
        <w:div w:id="1832258284">
          <w:marLeft w:val="0"/>
          <w:marRight w:val="0"/>
          <w:marTop w:val="0"/>
          <w:marBottom w:val="0"/>
          <w:divBdr>
            <w:top w:val="none" w:sz="0" w:space="0" w:color="auto"/>
            <w:left w:val="none" w:sz="0" w:space="0" w:color="auto"/>
            <w:bottom w:val="none" w:sz="0" w:space="0" w:color="auto"/>
            <w:right w:val="none" w:sz="0" w:space="0" w:color="auto"/>
          </w:divBdr>
        </w:div>
      </w:divsChild>
    </w:div>
    <w:div w:id="670258062">
      <w:bodyDiv w:val="1"/>
      <w:marLeft w:val="0"/>
      <w:marRight w:val="0"/>
      <w:marTop w:val="0"/>
      <w:marBottom w:val="0"/>
      <w:divBdr>
        <w:top w:val="none" w:sz="0" w:space="0" w:color="auto"/>
        <w:left w:val="none" w:sz="0" w:space="0" w:color="auto"/>
        <w:bottom w:val="none" w:sz="0" w:space="0" w:color="auto"/>
        <w:right w:val="none" w:sz="0" w:space="0" w:color="auto"/>
      </w:divBdr>
      <w:divsChild>
        <w:div w:id="760641038">
          <w:marLeft w:val="547"/>
          <w:marRight w:val="0"/>
          <w:marTop w:val="0"/>
          <w:marBottom w:val="0"/>
          <w:divBdr>
            <w:top w:val="none" w:sz="0" w:space="0" w:color="auto"/>
            <w:left w:val="none" w:sz="0" w:space="0" w:color="auto"/>
            <w:bottom w:val="none" w:sz="0" w:space="0" w:color="auto"/>
            <w:right w:val="none" w:sz="0" w:space="0" w:color="auto"/>
          </w:divBdr>
        </w:div>
      </w:divsChild>
    </w:div>
    <w:div w:id="679162048">
      <w:bodyDiv w:val="1"/>
      <w:marLeft w:val="0"/>
      <w:marRight w:val="0"/>
      <w:marTop w:val="0"/>
      <w:marBottom w:val="0"/>
      <w:divBdr>
        <w:top w:val="none" w:sz="0" w:space="0" w:color="auto"/>
        <w:left w:val="none" w:sz="0" w:space="0" w:color="auto"/>
        <w:bottom w:val="none" w:sz="0" w:space="0" w:color="auto"/>
        <w:right w:val="none" w:sz="0" w:space="0" w:color="auto"/>
      </w:divBdr>
      <w:divsChild>
        <w:div w:id="1998220794">
          <w:marLeft w:val="547"/>
          <w:marRight w:val="0"/>
          <w:marTop w:val="0"/>
          <w:marBottom w:val="0"/>
          <w:divBdr>
            <w:top w:val="none" w:sz="0" w:space="0" w:color="auto"/>
            <w:left w:val="none" w:sz="0" w:space="0" w:color="auto"/>
            <w:bottom w:val="none" w:sz="0" w:space="0" w:color="auto"/>
            <w:right w:val="none" w:sz="0" w:space="0" w:color="auto"/>
          </w:divBdr>
        </w:div>
      </w:divsChild>
    </w:div>
    <w:div w:id="702094674">
      <w:bodyDiv w:val="1"/>
      <w:marLeft w:val="0"/>
      <w:marRight w:val="0"/>
      <w:marTop w:val="0"/>
      <w:marBottom w:val="0"/>
      <w:divBdr>
        <w:top w:val="none" w:sz="0" w:space="0" w:color="auto"/>
        <w:left w:val="none" w:sz="0" w:space="0" w:color="auto"/>
        <w:bottom w:val="none" w:sz="0" w:space="0" w:color="auto"/>
        <w:right w:val="none" w:sz="0" w:space="0" w:color="auto"/>
      </w:divBdr>
      <w:divsChild>
        <w:div w:id="661813151">
          <w:marLeft w:val="547"/>
          <w:marRight w:val="0"/>
          <w:marTop w:val="0"/>
          <w:marBottom w:val="0"/>
          <w:divBdr>
            <w:top w:val="none" w:sz="0" w:space="0" w:color="auto"/>
            <w:left w:val="none" w:sz="0" w:space="0" w:color="auto"/>
            <w:bottom w:val="none" w:sz="0" w:space="0" w:color="auto"/>
            <w:right w:val="none" w:sz="0" w:space="0" w:color="auto"/>
          </w:divBdr>
        </w:div>
      </w:divsChild>
    </w:div>
    <w:div w:id="717120915">
      <w:bodyDiv w:val="1"/>
      <w:marLeft w:val="0"/>
      <w:marRight w:val="0"/>
      <w:marTop w:val="0"/>
      <w:marBottom w:val="0"/>
      <w:divBdr>
        <w:top w:val="none" w:sz="0" w:space="0" w:color="auto"/>
        <w:left w:val="none" w:sz="0" w:space="0" w:color="auto"/>
        <w:bottom w:val="none" w:sz="0" w:space="0" w:color="auto"/>
        <w:right w:val="none" w:sz="0" w:space="0" w:color="auto"/>
      </w:divBdr>
      <w:divsChild>
        <w:div w:id="1929532860">
          <w:marLeft w:val="150"/>
          <w:marRight w:val="150"/>
          <w:marTop w:val="150"/>
          <w:marBottom w:val="150"/>
          <w:divBdr>
            <w:top w:val="none" w:sz="0" w:space="0" w:color="auto"/>
            <w:left w:val="none" w:sz="0" w:space="0" w:color="auto"/>
            <w:bottom w:val="none" w:sz="0" w:space="0" w:color="auto"/>
            <w:right w:val="none" w:sz="0" w:space="0" w:color="auto"/>
          </w:divBdr>
        </w:div>
      </w:divsChild>
    </w:div>
    <w:div w:id="750346089">
      <w:bodyDiv w:val="1"/>
      <w:marLeft w:val="0"/>
      <w:marRight w:val="0"/>
      <w:marTop w:val="0"/>
      <w:marBottom w:val="0"/>
      <w:divBdr>
        <w:top w:val="none" w:sz="0" w:space="0" w:color="auto"/>
        <w:left w:val="none" w:sz="0" w:space="0" w:color="auto"/>
        <w:bottom w:val="none" w:sz="0" w:space="0" w:color="auto"/>
        <w:right w:val="none" w:sz="0" w:space="0" w:color="auto"/>
      </w:divBdr>
      <w:divsChild>
        <w:div w:id="951203741">
          <w:marLeft w:val="547"/>
          <w:marRight w:val="0"/>
          <w:marTop w:val="0"/>
          <w:marBottom w:val="0"/>
          <w:divBdr>
            <w:top w:val="none" w:sz="0" w:space="0" w:color="auto"/>
            <w:left w:val="none" w:sz="0" w:space="0" w:color="auto"/>
            <w:bottom w:val="none" w:sz="0" w:space="0" w:color="auto"/>
            <w:right w:val="none" w:sz="0" w:space="0" w:color="auto"/>
          </w:divBdr>
        </w:div>
      </w:divsChild>
    </w:div>
    <w:div w:id="860096101">
      <w:bodyDiv w:val="1"/>
      <w:marLeft w:val="0"/>
      <w:marRight w:val="0"/>
      <w:marTop w:val="0"/>
      <w:marBottom w:val="0"/>
      <w:divBdr>
        <w:top w:val="none" w:sz="0" w:space="0" w:color="auto"/>
        <w:left w:val="none" w:sz="0" w:space="0" w:color="auto"/>
        <w:bottom w:val="none" w:sz="0" w:space="0" w:color="auto"/>
        <w:right w:val="none" w:sz="0" w:space="0" w:color="auto"/>
      </w:divBdr>
    </w:div>
    <w:div w:id="907113992">
      <w:bodyDiv w:val="1"/>
      <w:marLeft w:val="0"/>
      <w:marRight w:val="0"/>
      <w:marTop w:val="0"/>
      <w:marBottom w:val="0"/>
      <w:divBdr>
        <w:top w:val="none" w:sz="0" w:space="0" w:color="auto"/>
        <w:left w:val="none" w:sz="0" w:space="0" w:color="auto"/>
        <w:bottom w:val="none" w:sz="0" w:space="0" w:color="auto"/>
        <w:right w:val="none" w:sz="0" w:space="0" w:color="auto"/>
      </w:divBdr>
    </w:div>
    <w:div w:id="965544688">
      <w:bodyDiv w:val="1"/>
      <w:marLeft w:val="0"/>
      <w:marRight w:val="0"/>
      <w:marTop w:val="0"/>
      <w:marBottom w:val="0"/>
      <w:divBdr>
        <w:top w:val="none" w:sz="0" w:space="0" w:color="auto"/>
        <w:left w:val="none" w:sz="0" w:space="0" w:color="auto"/>
        <w:bottom w:val="none" w:sz="0" w:space="0" w:color="auto"/>
        <w:right w:val="none" w:sz="0" w:space="0" w:color="auto"/>
      </w:divBdr>
    </w:div>
    <w:div w:id="1093866430">
      <w:bodyDiv w:val="1"/>
      <w:marLeft w:val="0"/>
      <w:marRight w:val="0"/>
      <w:marTop w:val="0"/>
      <w:marBottom w:val="0"/>
      <w:divBdr>
        <w:top w:val="none" w:sz="0" w:space="0" w:color="auto"/>
        <w:left w:val="none" w:sz="0" w:space="0" w:color="auto"/>
        <w:bottom w:val="none" w:sz="0" w:space="0" w:color="auto"/>
        <w:right w:val="none" w:sz="0" w:space="0" w:color="auto"/>
      </w:divBdr>
    </w:div>
    <w:div w:id="1188838176">
      <w:bodyDiv w:val="1"/>
      <w:marLeft w:val="0"/>
      <w:marRight w:val="0"/>
      <w:marTop w:val="0"/>
      <w:marBottom w:val="0"/>
      <w:divBdr>
        <w:top w:val="none" w:sz="0" w:space="0" w:color="auto"/>
        <w:left w:val="none" w:sz="0" w:space="0" w:color="auto"/>
        <w:bottom w:val="none" w:sz="0" w:space="0" w:color="auto"/>
        <w:right w:val="none" w:sz="0" w:space="0" w:color="auto"/>
      </w:divBdr>
      <w:divsChild>
        <w:div w:id="156845536">
          <w:marLeft w:val="547"/>
          <w:marRight w:val="0"/>
          <w:marTop w:val="0"/>
          <w:marBottom w:val="0"/>
          <w:divBdr>
            <w:top w:val="none" w:sz="0" w:space="0" w:color="auto"/>
            <w:left w:val="none" w:sz="0" w:space="0" w:color="auto"/>
            <w:bottom w:val="none" w:sz="0" w:space="0" w:color="auto"/>
            <w:right w:val="none" w:sz="0" w:space="0" w:color="auto"/>
          </w:divBdr>
        </w:div>
      </w:divsChild>
    </w:div>
    <w:div w:id="1194152630">
      <w:bodyDiv w:val="1"/>
      <w:marLeft w:val="0"/>
      <w:marRight w:val="0"/>
      <w:marTop w:val="0"/>
      <w:marBottom w:val="0"/>
      <w:divBdr>
        <w:top w:val="none" w:sz="0" w:space="0" w:color="auto"/>
        <w:left w:val="none" w:sz="0" w:space="0" w:color="auto"/>
        <w:bottom w:val="none" w:sz="0" w:space="0" w:color="auto"/>
        <w:right w:val="none" w:sz="0" w:space="0" w:color="auto"/>
      </w:divBdr>
      <w:divsChild>
        <w:div w:id="909578743">
          <w:marLeft w:val="547"/>
          <w:marRight w:val="0"/>
          <w:marTop w:val="0"/>
          <w:marBottom w:val="0"/>
          <w:divBdr>
            <w:top w:val="none" w:sz="0" w:space="0" w:color="auto"/>
            <w:left w:val="none" w:sz="0" w:space="0" w:color="auto"/>
            <w:bottom w:val="none" w:sz="0" w:space="0" w:color="auto"/>
            <w:right w:val="none" w:sz="0" w:space="0" w:color="auto"/>
          </w:divBdr>
        </w:div>
      </w:divsChild>
    </w:div>
    <w:div w:id="1218513874">
      <w:bodyDiv w:val="1"/>
      <w:marLeft w:val="0"/>
      <w:marRight w:val="0"/>
      <w:marTop w:val="0"/>
      <w:marBottom w:val="0"/>
      <w:divBdr>
        <w:top w:val="none" w:sz="0" w:space="0" w:color="auto"/>
        <w:left w:val="none" w:sz="0" w:space="0" w:color="auto"/>
        <w:bottom w:val="none" w:sz="0" w:space="0" w:color="auto"/>
        <w:right w:val="none" w:sz="0" w:space="0" w:color="auto"/>
      </w:divBdr>
      <w:divsChild>
        <w:div w:id="219365919">
          <w:marLeft w:val="547"/>
          <w:marRight w:val="0"/>
          <w:marTop w:val="0"/>
          <w:marBottom w:val="0"/>
          <w:divBdr>
            <w:top w:val="none" w:sz="0" w:space="0" w:color="auto"/>
            <w:left w:val="none" w:sz="0" w:space="0" w:color="auto"/>
            <w:bottom w:val="none" w:sz="0" w:space="0" w:color="auto"/>
            <w:right w:val="none" w:sz="0" w:space="0" w:color="auto"/>
          </w:divBdr>
        </w:div>
      </w:divsChild>
    </w:div>
    <w:div w:id="1260675604">
      <w:bodyDiv w:val="1"/>
      <w:marLeft w:val="0"/>
      <w:marRight w:val="0"/>
      <w:marTop w:val="0"/>
      <w:marBottom w:val="0"/>
      <w:divBdr>
        <w:top w:val="none" w:sz="0" w:space="0" w:color="auto"/>
        <w:left w:val="none" w:sz="0" w:space="0" w:color="auto"/>
        <w:bottom w:val="none" w:sz="0" w:space="0" w:color="auto"/>
        <w:right w:val="none" w:sz="0" w:space="0" w:color="auto"/>
      </w:divBdr>
    </w:div>
    <w:div w:id="1341346390">
      <w:bodyDiv w:val="1"/>
      <w:marLeft w:val="0"/>
      <w:marRight w:val="0"/>
      <w:marTop w:val="0"/>
      <w:marBottom w:val="0"/>
      <w:divBdr>
        <w:top w:val="none" w:sz="0" w:space="0" w:color="auto"/>
        <w:left w:val="none" w:sz="0" w:space="0" w:color="auto"/>
        <w:bottom w:val="none" w:sz="0" w:space="0" w:color="auto"/>
        <w:right w:val="none" w:sz="0" w:space="0" w:color="auto"/>
      </w:divBdr>
    </w:div>
    <w:div w:id="1342318921">
      <w:bodyDiv w:val="1"/>
      <w:marLeft w:val="0"/>
      <w:marRight w:val="0"/>
      <w:marTop w:val="0"/>
      <w:marBottom w:val="0"/>
      <w:divBdr>
        <w:top w:val="none" w:sz="0" w:space="0" w:color="auto"/>
        <w:left w:val="none" w:sz="0" w:space="0" w:color="auto"/>
        <w:bottom w:val="none" w:sz="0" w:space="0" w:color="auto"/>
        <w:right w:val="none" w:sz="0" w:space="0" w:color="auto"/>
      </w:divBdr>
    </w:div>
    <w:div w:id="1397625014">
      <w:bodyDiv w:val="1"/>
      <w:marLeft w:val="0"/>
      <w:marRight w:val="0"/>
      <w:marTop w:val="0"/>
      <w:marBottom w:val="0"/>
      <w:divBdr>
        <w:top w:val="none" w:sz="0" w:space="0" w:color="auto"/>
        <w:left w:val="none" w:sz="0" w:space="0" w:color="auto"/>
        <w:bottom w:val="none" w:sz="0" w:space="0" w:color="auto"/>
        <w:right w:val="none" w:sz="0" w:space="0" w:color="auto"/>
      </w:divBdr>
      <w:divsChild>
        <w:div w:id="1841113787">
          <w:marLeft w:val="547"/>
          <w:marRight w:val="0"/>
          <w:marTop w:val="0"/>
          <w:marBottom w:val="0"/>
          <w:divBdr>
            <w:top w:val="none" w:sz="0" w:space="0" w:color="auto"/>
            <w:left w:val="none" w:sz="0" w:space="0" w:color="auto"/>
            <w:bottom w:val="none" w:sz="0" w:space="0" w:color="auto"/>
            <w:right w:val="none" w:sz="0" w:space="0" w:color="auto"/>
          </w:divBdr>
        </w:div>
      </w:divsChild>
    </w:div>
    <w:div w:id="1481924589">
      <w:bodyDiv w:val="1"/>
      <w:marLeft w:val="0"/>
      <w:marRight w:val="0"/>
      <w:marTop w:val="0"/>
      <w:marBottom w:val="0"/>
      <w:divBdr>
        <w:top w:val="none" w:sz="0" w:space="0" w:color="auto"/>
        <w:left w:val="none" w:sz="0" w:space="0" w:color="auto"/>
        <w:bottom w:val="none" w:sz="0" w:space="0" w:color="auto"/>
        <w:right w:val="none" w:sz="0" w:space="0" w:color="auto"/>
      </w:divBdr>
    </w:div>
    <w:div w:id="1557275329">
      <w:bodyDiv w:val="1"/>
      <w:marLeft w:val="0"/>
      <w:marRight w:val="0"/>
      <w:marTop w:val="0"/>
      <w:marBottom w:val="0"/>
      <w:divBdr>
        <w:top w:val="none" w:sz="0" w:space="0" w:color="auto"/>
        <w:left w:val="none" w:sz="0" w:space="0" w:color="auto"/>
        <w:bottom w:val="none" w:sz="0" w:space="0" w:color="auto"/>
        <w:right w:val="none" w:sz="0" w:space="0" w:color="auto"/>
      </w:divBdr>
    </w:div>
    <w:div w:id="1687322028">
      <w:bodyDiv w:val="1"/>
      <w:marLeft w:val="0"/>
      <w:marRight w:val="0"/>
      <w:marTop w:val="0"/>
      <w:marBottom w:val="0"/>
      <w:divBdr>
        <w:top w:val="none" w:sz="0" w:space="0" w:color="auto"/>
        <w:left w:val="none" w:sz="0" w:space="0" w:color="auto"/>
        <w:bottom w:val="none" w:sz="0" w:space="0" w:color="auto"/>
        <w:right w:val="none" w:sz="0" w:space="0" w:color="auto"/>
      </w:divBdr>
      <w:divsChild>
        <w:div w:id="963661752">
          <w:marLeft w:val="547"/>
          <w:marRight w:val="0"/>
          <w:marTop w:val="0"/>
          <w:marBottom w:val="0"/>
          <w:divBdr>
            <w:top w:val="none" w:sz="0" w:space="0" w:color="auto"/>
            <w:left w:val="none" w:sz="0" w:space="0" w:color="auto"/>
            <w:bottom w:val="none" w:sz="0" w:space="0" w:color="auto"/>
            <w:right w:val="none" w:sz="0" w:space="0" w:color="auto"/>
          </w:divBdr>
        </w:div>
      </w:divsChild>
    </w:div>
    <w:div w:id="1761364896">
      <w:bodyDiv w:val="1"/>
      <w:marLeft w:val="0"/>
      <w:marRight w:val="0"/>
      <w:marTop w:val="0"/>
      <w:marBottom w:val="0"/>
      <w:divBdr>
        <w:top w:val="none" w:sz="0" w:space="0" w:color="auto"/>
        <w:left w:val="none" w:sz="0" w:space="0" w:color="auto"/>
        <w:bottom w:val="none" w:sz="0" w:space="0" w:color="auto"/>
        <w:right w:val="none" w:sz="0" w:space="0" w:color="auto"/>
      </w:divBdr>
    </w:div>
    <w:div w:id="1854566357">
      <w:bodyDiv w:val="1"/>
      <w:marLeft w:val="0"/>
      <w:marRight w:val="0"/>
      <w:marTop w:val="0"/>
      <w:marBottom w:val="0"/>
      <w:divBdr>
        <w:top w:val="none" w:sz="0" w:space="0" w:color="auto"/>
        <w:left w:val="none" w:sz="0" w:space="0" w:color="auto"/>
        <w:bottom w:val="none" w:sz="0" w:space="0" w:color="auto"/>
        <w:right w:val="none" w:sz="0" w:space="0" w:color="auto"/>
      </w:divBdr>
      <w:divsChild>
        <w:div w:id="1989820850">
          <w:marLeft w:val="547"/>
          <w:marRight w:val="0"/>
          <w:marTop w:val="0"/>
          <w:marBottom w:val="0"/>
          <w:divBdr>
            <w:top w:val="none" w:sz="0" w:space="0" w:color="auto"/>
            <w:left w:val="none" w:sz="0" w:space="0" w:color="auto"/>
            <w:bottom w:val="none" w:sz="0" w:space="0" w:color="auto"/>
            <w:right w:val="none" w:sz="0" w:space="0" w:color="auto"/>
          </w:divBdr>
        </w:div>
      </w:divsChild>
    </w:div>
    <w:div w:id="2102214983">
      <w:bodyDiv w:val="1"/>
      <w:marLeft w:val="0"/>
      <w:marRight w:val="0"/>
      <w:marTop w:val="0"/>
      <w:marBottom w:val="0"/>
      <w:divBdr>
        <w:top w:val="none" w:sz="0" w:space="0" w:color="auto"/>
        <w:left w:val="none" w:sz="0" w:space="0" w:color="auto"/>
        <w:bottom w:val="none" w:sz="0" w:space="0" w:color="auto"/>
        <w:right w:val="none" w:sz="0" w:space="0" w:color="auto"/>
      </w:divBdr>
      <w:divsChild>
        <w:div w:id="12644165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parama.lt/strateginiai-dokumentai1" TargetMode="External"/><Relationship Id="rId18" Type="http://schemas.openxmlformats.org/officeDocument/2006/relationships/hyperlink" Target="mailto:g.lamsodis@litfood.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imante.levickiene@telsiai.lt" TargetMode="External"/><Relationship Id="rId7" Type="http://schemas.openxmlformats.org/officeDocument/2006/relationships/footnotes" Target="footnotes.xml"/><Relationship Id="rId12" Type="http://schemas.openxmlformats.org/officeDocument/2006/relationships/hyperlink" Target="http://ec.europa.eu/europe2020/pdf/csr2014/csr2014_lithuania_lt.pdf" TargetMode="External"/><Relationship Id="rId17" Type="http://schemas.openxmlformats.org/officeDocument/2006/relationships/hyperlink" Target="mailto:r.kraujelyte-noreikiene@litfood.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musteikis@litfood.lt" TargetMode="External"/><Relationship Id="rId20" Type="http://schemas.openxmlformats.org/officeDocument/2006/relationships/hyperlink" Target="mailto:kristina@maistobanka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tfood.lt/Lists/Publications/AllItems.aspx?RootFolder=http%3a%2f%2fwww%2elitfood%2elt%2fLists%2fPublications%2fPagalba%20maisto%20produktais%2fStatistika&amp;FolderCTID=0x012000EF8B28BBC9FD604F9F45357A684ABF67"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alia@redcross.lt" TargetMode="External"/><Relationship Id="rId23" Type="http://schemas.openxmlformats.org/officeDocument/2006/relationships/header" Target="header1.xml"/><Relationship Id="rId127"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hyperlink" Target="mailto:dalia.gaileviciute@esf.lt"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www.litfood.lt/Lists/Publications/AllItems.aspx?RootFolder=http%3a%2f%2fwww%2elitfood%2elt%2fLists%2fPublications%2fPagalba%20maisto%20produktais%2fStatistika&amp;FolderCTID=0x012000EF8B28BBC9FD604F9F45357A684ABF67" TargetMode="External"/><Relationship Id="rId22" Type="http://schemas.openxmlformats.org/officeDocument/2006/relationships/hyperlink" Target="mailto:info@stopskurdas.lt" TargetMode="External"/><Relationship Id="rId126"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appsso.eurostat.ec.europa.eu/nui/submitViewTableAction.do" TargetMode="External"/><Relationship Id="rId2" Type="http://schemas.openxmlformats.org/officeDocument/2006/relationships/hyperlink" Target="http://appsso.eurostat.ec.europa.eu/nui/show.do?dataset=ilc_mddd21&amp;lang=en" TargetMode="External"/><Relationship Id="rId1" Type="http://schemas.openxmlformats.org/officeDocument/2006/relationships/hyperlink" Target="http://epp.eurostat.ec.europa.eu/tgm/refreshTableAction.do;jsessionid=9ea7d07d30ebb87d4cd83d184437b435dadf0aa742e8.e34OaN8PchaTby0Lc3aNchuNa3mSe0?tab=table&amp;plugin=1&amp;pcode=t2020_50&amp;language=en" TargetMode="External"/><Relationship Id="rId5" Type="http://schemas.openxmlformats.org/officeDocument/2006/relationships/hyperlink" Target="http://www.esparama.lt/strateginiai-dokumentai1" TargetMode="External"/><Relationship Id="rId4" Type="http://schemas.openxmlformats.org/officeDocument/2006/relationships/hyperlink" Target="http://ec.europa.eu/europe2020/pdf/csr2014/csr2014_lithuania_l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Maka\AppData\Roaming\Microsoft\Templates\VPVI.dotx" TargetMode="External"/></Relationships>
</file>

<file path=word/theme/theme1.xml><?xml version="1.0" encoding="utf-8"?>
<a:theme xmlns:a="http://schemas.openxmlformats.org/drawingml/2006/main" name="Office Theme">
  <a:themeElements>
    <a:clrScheme name="Custom Palete 1">
      <a:dk1>
        <a:sysClr val="windowText" lastClr="000000"/>
      </a:dk1>
      <a:lt1>
        <a:sysClr val="window" lastClr="FFFFFF"/>
      </a:lt1>
      <a:dk2>
        <a:srgbClr val="9A9A9A"/>
      </a:dk2>
      <a:lt2>
        <a:srgbClr val="FFFFFF"/>
      </a:lt2>
      <a:accent1>
        <a:srgbClr val="FDCF85"/>
      </a:accent1>
      <a:accent2>
        <a:srgbClr val="FAB02F"/>
      </a:accent2>
      <a:accent3>
        <a:srgbClr val="AFC3CB"/>
      </a:accent3>
      <a:accent4>
        <a:srgbClr val="306673"/>
      </a:accent4>
      <a:accent5>
        <a:srgbClr val="02424C"/>
      </a:accent5>
      <a:accent6>
        <a:srgbClr val="FEE3BB"/>
      </a:accent6>
      <a:hlink>
        <a:srgbClr val="0000FF"/>
      </a:hlink>
      <a:folHlink>
        <a:srgbClr val="800080"/>
      </a:folHlink>
    </a:clrScheme>
    <a:fontScheme name="VPVI">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AA71-F976-46DD-AA6A-2044E469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VPVI</Template>
  <TotalTime>513</TotalTime>
  <Pages>23</Pages>
  <Words>36777</Words>
  <Characters>20964</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EX ANTE EVALUATION OF THE OPERATIONAL PROGRAMME OF THE FUND FOR EUROPEAN AID to THE MOST DEPRIVED</vt:lpstr>
    </vt:vector>
  </TitlesOfParts>
  <Company>Overt Technologies Ltd</Company>
  <LinksUpToDate>false</LinksUpToDate>
  <CharactersWithSpaces>57626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ANTE EVALUATION OF THE OPERATIONAL PROGRAMME OF THE FUND FOR EUROPEAN AID TO THE MOST DEPRIVED</dc:title>
  <dc:subject>EVALUATION REPORT</dc:subject>
  <dc:creator>AlinMaka</dc:creator>
  <cp:lastModifiedBy>AlinMaka</cp:lastModifiedBy>
  <cp:revision>8</cp:revision>
  <cp:lastPrinted>2014-06-04T11:07:00Z</cp:lastPrinted>
  <dcterms:created xsi:type="dcterms:W3CDTF">2014-08-14T07:43:00Z</dcterms:created>
  <dcterms:modified xsi:type="dcterms:W3CDTF">2014-08-19T11:51:00Z</dcterms:modified>
</cp:coreProperties>
</file>